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06" w:type="dxa"/>
        <w:jc w:val="center"/>
        <w:tblLayout w:type="fixed"/>
        <w:tblLook w:val="04A0" w:firstRow="1" w:lastRow="0" w:firstColumn="1" w:lastColumn="0" w:noHBand="0" w:noVBand="1"/>
      </w:tblPr>
      <w:tblGrid>
        <w:gridCol w:w="11906"/>
      </w:tblGrid>
      <w:tr w:rsidR="00D212A4" w14:paraId="43803F9B" w14:textId="77777777">
        <w:trPr>
          <w:trHeight w:hRule="exact" w:val="16838"/>
          <w:jc w:val="center"/>
        </w:trPr>
        <w:tc>
          <w:tcPr>
            <w:tcW w:w="9026" w:type="dxa"/>
            <w:shd w:val="clear" w:color="auto" w:fill="0E2A45"/>
            <w:tcMar>
              <w:top w:w="0" w:type="dxa"/>
              <w:left w:w="1320" w:type="dxa"/>
              <w:bottom w:w="0" w:type="dxa"/>
              <w:right w:w="1100" w:type="dxa"/>
            </w:tcMar>
            <w:vAlign w:val="center"/>
          </w:tcPr>
          <w:p w14:paraId="14B6DF00" w14:textId="77777777" w:rsidR="00D212A4" w:rsidRDefault="00000000">
            <w:pPr>
              <w:spacing w:after="520"/>
            </w:pPr>
            <w:r>
              <w:rPr>
                <w:noProof/>
              </w:rPr>
              <w:drawing>
                <wp:inline distT="0" distB="0" distL="0" distR="0" wp14:anchorId="743DFBAB" wp14:editId="08ECBC85">
                  <wp:extent cx="1872000" cy="6007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whit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60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95CF47" w14:textId="77777777" w:rsidR="00D212A4" w:rsidRDefault="00000000">
            <w:pPr>
              <w:spacing w:after="200"/>
            </w:pPr>
            <w:r>
              <w:rPr>
                <w:color w:val="DD8736"/>
                <w:sz w:val="17"/>
              </w:rPr>
              <w:t xml:space="preserve">●   </w:t>
            </w:r>
            <w:r>
              <w:rPr>
                <w:b/>
                <w:color w:val="AEC2D6"/>
                <w:spacing w:val="60"/>
                <w:sz w:val="20"/>
              </w:rPr>
              <w:t>STRATEGIC MARKET INTELLIGENCE</w:t>
            </w:r>
          </w:p>
          <w:p w14:paraId="7C3DAD2F" w14:textId="77777777" w:rsidR="00D212A4" w:rsidRDefault="00000000">
            <w:pPr>
              <w:spacing w:after="40" w:line="250" w:lineRule="auto"/>
            </w:pPr>
            <w:r>
              <w:rPr>
                <w:b/>
                <w:color w:val="FFFFFF"/>
                <w:spacing w:val="-8"/>
                <w:sz w:val="66"/>
              </w:rPr>
              <w:t>ADAS/AD-Simulation</w:t>
            </w:r>
          </w:p>
          <w:p w14:paraId="6529CE78" w14:textId="77777777" w:rsidR="00D212A4" w:rsidRDefault="00000000">
            <w:pPr>
              <w:spacing w:after="280" w:line="250" w:lineRule="auto"/>
            </w:pPr>
            <w:r>
              <w:rPr>
                <w:b/>
                <w:color w:val="FFFFFF"/>
                <w:spacing w:val="-8"/>
                <w:sz w:val="66"/>
              </w:rPr>
              <w:t>Markt &amp; Wettbewerb</w:t>
            </w:r>
          </w:p>
          <w:p w14:paraId="0FE2CF1A" w14:textId="77777777" w:rsidR="00D212A4" w:rsidRDefault="00000000">
            <w:pPr>
              <w:spacing w:after="360"/>
            </w:pPr>
            <w:r>
              <w:rPr>
                <w:color w:val="AEC2D6"/>
                <w:sz w:val="29"/>
              </w:rPr>
              <w:t>KI-gestütztes ADAS/AD-Simulationsökosystem · Europa &amp; Japan · Demonstrationsprojekt 2026</w:t>
            </w:r>
          </w:p>
          <w:p w14:paraId="0B2FD571" w14:textId="77777777" w:rsidR="00D212A4" w:rsidRDefault="00D212A4">
            <w:pPr>
              <w:pBdr>
                <w:bottom w:val="single" w:sz="28" w:space="0" w:color="DD8736"/>
              </w:pBdr>
              <w:spacing w:after="320"/>
              <w:ind w:right="8586"/>
            </w:pPr>
          </w:p>
          <w:p w14:paraId="451BFDFB" w14:textId="77777777" w:rsidR="00D212A4" w:rsidRDefault="00000000">
            <w:pPr>
              <w:spacing w:after="140"/>
            </w:pPr>
            <w:r>
              <w:rPr>
                <w:b/>
                <w:color w:val="5B7FA6"/>
                <w:spacing w:val="40"/>
                <w:sz w:val="16"/>
              </w:rPr>
              <w:t xml:space="preserve">VORBEREITET FÜR   </w:t>
            </w:r>
            <w:r>
              <w:rPr>
                <w:color w:val="FFFFFF"/>
              </w:rPr>
              <w:t>Führendes europäisches Engineering-Unternehmen (anonymisiert)</w:t>
            </w:r>
          </w:p>
          <w:p w14:paraId="5DEB6D49" w14:textId="77777777" w:rsidR="00D212A4" w:rsidRDefault="00000000">
            <w:pPr>
              <w:spacing w:after="140"/>
            </w:pPr>
            <w:r>
              <w:rPr>
                <w:b/>
                <w:color w:val="5B7FA6"/>
                <w:spacing w:val="40"/>
                <w:sz w:val="16"/>
              </w:rPr>
              <w:t xml:space="preserve">DOKUMENTTYP   </w:t>
            </w:r>
            <w:r>
              <w:rPr>
                <w:color w:val="FFFFFF"/>
              </w:rPr>
              <w:t>Demonstrationsprojekt · Executive Intelligence Report · Edition 2026</w:t>
            </w:r>
          </w:p>
          <w:p w14:paraId="2BCC60F6" w14:textId="77777777" w:rsidR="00D212A4" w:rsidRDefault="00000000">
            <w:pPr>
              <w:spacing w:after="140"/>
            </w:pPr>
            <w:r>
              <w:rPr>
                <w:b/>
                <w:color w:val="5B7FA6"/>
                <w:spacing w:val="40"/>
                <w:sz w:val="16"/>
              </w:rPr>
              <w:t xml:space="preserve">VERFASST VON   </w:t>
            </w:r>
            <w:r>
              <w:rPr>
                <w:color w:val="FFFFFF"/>
              </w:rPr>
              <w:t>Rivalerra Consulting — Automotive Intelligence</w:t>
            </w:r>
          </w:p>
          <w:p w14:paraId="5AB0963B" w14:textId="77777777" w:rsidR="00D212A4" w:rsidRDefault="00000000">
            <w:pPr>
              <w:spacing w:before="400"/>
            </w:pPr>
            <w:r>
              <w:rPr>
                <w:b/>
                <w:color w:val="DD8736"/>
                <w:spacing w:val="52"/>
                <w:sz w:val="16"/>
              </w:rPr>
              <w:t>STRICTLY CONFIDENTIAL</w:t>
            </w:r>
          </w:p>
        </w:tc>
      </w:tr>
    </w:tbl>
    <w:p w14:paraId="2A1505E9" w14:textId="77777777" w:rsidR="00D212A4" w:rsidRDefault="00D212A4">
      <w:pPr>
        <w:sectPr w:rsidR="00D212A4">
          <w:headerReference w:type="default" r:id="rId13"/>
          <w:headerReference w:type="first" r:id="rId14"/>
          <w:headerReference w:type="even" r:id="rId15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 w14:paraId="03908501" w14:textId="77777777" w:rsidR="00D212A4" w:rsidRDefault="00000000">
      <w:pPr>
        <w:spacing w:after="40"/>
      </w:pPr>
      <w:r>
        <w:rPr>
          <w:color w:val="DD8736"/>
          <w:sz w:val="15"/>
        </w:rPr>
        <w:lastRenderedPageBreak/>
        <w:t>●</w:t>
      </w:r>
      <w:r>
        <w:t xml:space="preserve">  </w:t>
      </w:r>
      <w:r>
        <w:rPr>
          <w:b/>
          <w:color w:val="5C6B7A"/>
          <w:spacing w:val="52"/>
          <w:sz w:val="18"/>
        </w:rPr>
        <w:t>INHALT</w:t>
      </w:r>
    </w:p>
    <w:p w14:paraId="5A4B242B" w14:textId="77777777" w:rsidR="00D212A4" w:rsidRDefault="00000000">
      <w:pPr>
        <w:pStyle w:val="berschrift1"/>
      </w:pPr>
      <w:r>
        <w:t>Inhaltsverzeichnis</w:t>
      </w:r>
    </w:p>
    <w:p w14:paraId="0FB7774A" w14:textId="77777777" w:rsidR="00D212A4" w:rsidRDefault="00000000">
      <w:r>
        <w:fldChar w:fldCharType="begin"/>
      </w:r>
      <w:r>
        <w:instrText>TOC \o "1-2" \h \z \u</w:instrText>
      </w:r>
      <w:r>
        <w:fldChar w:fldCharType="separate"/>
      </w:r>
      <w:r>
        <w:rPr>
          <w:i/>
          <w:color w:val="5C6B7A"/>
          <w:sz w:val="18"/>
        </w:rPr>
        <w:t>Inhaltsverzeichnis wird in Word über „Felder aktualisieren" (F9) erzeugt.</w:t>
      </w:r>
      <w:r>
        <w:fldChar w:fldCharType="end"/>
      </w:r>
    </w:p>
    <w:p w14:paraId="0C681A6B" w14:textId="77777777" w:rsidR="00D212A4" w:rsidRDefault="00D212A4">
      <w:pPr>
        <w:pageBreakBefore/>
        <w:spacing w:after="0"/>
      </w:pPr>
    </w:p>
    <w:tbl>
      <w:tblPr>
        <w:tblW w:w="9314" w:type="dxa"/>
        <w:jc w:val="center"/>
        <w:tblLayout w:type="fixed"/>
        <w:tblLook w:val="04A0" w:firstRow="1" w:lastRow="0" w:firstColumn="1" w:lastColumn="0" w:noHBand="0" w:noVBand="1"/>
      </w:tblPr>
      <w:tblGrid>
        <w:gridCol w:w="9314"/>
      </w:tblGrid>
      <w:tr w:rsidR="00D212A4" w14:paraId="31FD3F60" w14:textId="77777777">
        <w:trPr>
          <w:trHeight w:val="1500"/>
          <w:jc w:val="center"/>
        </w:trPr>
        <w:tc>
          <w:tcPr>
            <w:tcW w:w="9314" w:type="dxa"/>
            <w:shd w:val="clear" w:color="auto" w:fill="0E2A45"/>
            <w:tcMar>
              <w:top w:w="320" w:type="dxa"/>
              <w:left w:w="300" w:type="dxa"/>
              <w:bottom w:w="320" w:type="dxa"/>
              <w:right w:w="300" w:type="dxa"/>
            </w:tcMar>
          </w:tcPr>
          <w:p w14:paraId="10CA27C2" w14:textId="77777777" w:rsidR="00D212A4" w:rsidRDefault="00000000">
            <w:pPr>
              <w:spacing w:after="40"/>
            </w:pPr>
            <w:r>
              <w:rPr>
                <w:color w:val="DD8736"/>
                <w:sz w:val="16"/>
              </w:rPr>
              <w:t xml:space="preserve">●  </w:t>
            </w:r>
            <w:r>
              <w:rPr>
                <w:b/>
                <w:color w:val="AEC2D6"/>
                <w:spacing w:val="52"/>
                <w:sz w:val="18"/>
              </w:rPr>
              <w:t>KAPITEL 01   ·   MANAGEMENT SUMMARY</w:t>
            </w:r>
          </w:p>
          <w:p w14:paraId="3663E963" w14:textId="77777777" w:rsidR="00D212A4" w:rsidRDefault="00000000">
            <w:pPr>
              <w:spacing w:before="40" w:after="0"/>
            </w:pPr>
            <w:r>
              <w:rPr>
                <w:b/>
                <w:color w:val="FFFFFF"/>
                <w:spacing w:val="-4"/>
                <w:sz w:val="42"/>
              </w:rPr>
              <w:t>Executive Briefing</w:t>
            </w:r>
          </w:p>
        </w:tc>
      </w:tr>
    </w:tbl>
    <w:p w14:paraId="5B75197E" w14:textId="77777777" w:rsidR="00D212A4" w:rsidRDefault="00D212A4">
      <w:pPr>
        <w:spacing w:after="40"/>
      </w:pPr>
    </w:p>
    <w:p w14:paraId="365FEBE3" w14:textId="77777777" w:rsidR="00D212A4" w:rsidRDefault="00000000">
      <w:pPr>
        <w:spacing w:before="40" w:after="40"/>
      </w:pPr>
      <w:r>
        <w:rPr>
          <w:color w:val="DD8736"/>
          <w:sz w:val="15"/>
        </w:rPr>
        <w:t>●</w:t>
      </w:r>
      <w:r>
        <w:t xml:space="preserve">  </w:t>
      </w:r>
      <w:r>
        <w:rPr>
          <w:b/>
          <w:color w:val="284E7D"/>
          <w:spacing w:val="52"/>
          <w:sz w:val="18"/>
        </w:rPr>
        <w:t>KERNAUSSAGE</w:t>
      </w:r>
    </w:p>
    <w:p w14:paraId="18E939A3" w14:textId="77777777" w:rsidR="00D212A4" w:rsidRDefault="00000000">
      <w:r>
        <w:t>Der ADAS/AD-Simulations- und Validierungsmarkt ist rückgewichtet: Im Drei-Jahres-Horizont sind nur wenige OEMs hochrelevant, über sechs Jahre verbreitert sich die adressierbare Kohorte um rund 44 %. Der Wettbewerb ist intensiv, doch vollautomatisierte, KI-gestützte Szenariengenerierung bleibt selten — hier liegt die strategische Lücke. Restriktive Straßentests verschieben die Nachfrage strukturell in die virtuelle Validierung.</w:t>
      </w:r>
    </w:p>
    <w:tbl>
      <w:tblPr>
        <w:tblW w:w="9314" w:type="dxa"/>
        <w:jc w:val="center"/>
        <w:tblLayout w:type="fixed"/>
        <w:tblLook w:val="04A0" w:firstRow="1" w:lastRow="0" w:firstColumn="1" w:lastColumn="0" w:noHBand="0" w:noVBand="1"/>
      </w:tblPr>
      <w:tblGrid>
        <w:gridCol w:w="2328"/>
        <w:gridCol w:w="2328"/>
        <w:gridCol w:w="2329"/>
        <w:gridCol w:w="2329"/>
      </w:tblGrid>
      <w:tr w:rsidR="00D212A4" w14:paraId="3B34E04A" w14:textId="77777777">
        <w:trPr>
          <w:trHeight w:val="1050"/>
          <w:jc w:val="center"/>
        </w:trPr>
        <w:tc>
          <w:tcPr>
            <w:tcW w:w="2328" w:type="dxa"/>
            <w:tcBorders>
              <w:right w:val="single" w:sz="40" w:space="0" w:color="FFFFFF"/>
            </w:tcBorders>
            <w:shd w:val="clear" w:color="auto" w:fill="0E2A45"/>
            <w:tcMar>
              <w:top w:w="170" w:type="dxa"/>
              <w:left w:w="170" w:type="dxa"/>
              <w:bottom w:w="160" w:type="dxa"/>
              <w:right w:w="120" w:type="dxa"/>
            </w:tcMar>
            <w:vAlign w:val="center"/>
          </w:tcPr>
          <w:p w14:paraId="4654D158" w14:textId="77777777" w:rsidR="00D212A4" w:rsidRDefault="00000000">
            <w:pPr>
              <w:spacing w:after="60"/>
            </w:pPr>
            <w:r>
              <w:rPr>
                <w:color w:val="DD8736"/>
                <w:sz w:val="13"/>
              </w:rPr>
              <w:t>●</w:t>
            </w:r>
            <w:r>
              <w:t xml:space="preserve">  </w:t>
            </w:r>
            <w:r>
              <w:rPr>
                <w:b/>
                <w:color w:val="AEC2D6"/>
                <w:spacing w:val="52"/>
                <w:sz w:val="16"/>
              </w:rPr>
              <w:t>OEMs BEWERTET</w:t>
            </w:r>
          </w:p>
          <w:p w14:paraId="3EF00079" w14:textId="77777777" w:rsidR="00D212A4" w:rsidRDefault="00000000">
            <w:pPr>
              <w:spacing w:before="40" w:after="0"/>
            </w:pPr>
            <w:r>
              <w:rPr>
                <w:b/>
                <w:color w:val="FFFFFF"/>
                <w:sz w:val="46"/>
              </w:rPr>
              <w:t>36</w:t>
            </w:r>
          </w:p>
          <w:p w14:paraId="184F0431" w14:textId="77777777" w:rsidR="00D212A4" w:rsidRDefault="00000000">
            <w:pPr>
              <w:spacing w:before="20" w:after="0"/>
            </w:pPr>
            <w:r>
              <w:rPr>
                <w:b/>
                <w:color w:val="E9A95C"/>
                <w:sz w:val="19"/>
              </w:rPr>
              <w:t>Europa &amp; Japan</w:t>
            </w:r>
          </w:p>
        </w:tc>
        <w:tc>
          <w:tcPr>
            <w:tcW w:w="2328" w:type="dxa"/>
            <w:tcBorders>
              <w:right w:val="single" w:sz="40" w:space="0" w:color="FFFFFF"/>
            </w:tcBorders>
            <w:shd w:val="clear" w:color="auto" w:fill="284E7D"/>
            <w:tcMar>
              <w:top w:w="170" w:type="dxa"/>
              <w:left w:w="170" w:type="dxa"/>
              <w:bottom w:w="160" w:type="dxa"/>
              <w:right w:w="120" w:type="dxa"/>
            </w:tcMar>
            <w:vAlign w:val="center"/>
          </w:tcPr>
          <w:p w14:paraId="2A60844C" w14:textId="77777777" w:rsidR="00D212A4" w:rsidRDefault="00000000">
            <w:pPr>
              <w:spacing w:after="60"/>
            </w:pPr>
            <w:r>
              <w:rPr>
                <w:color w:val="DD8736"/>
                <w:sz w:val="13"/>
              </w:rPr>
              <w:t>●</w:t>
            </w:r>
            <w:r>
              <w:t xml:space="preserve">  </w:t>
            </w:r>
            <w:r>
              <w:rPr>
                <w:b/>
                <w:color w:val="AEC2D6"/>
                <w:spacing w:val="52"/>
                <w:sz w:val="16"/>
              </w:rPr>
              <w:t>WETTBEWERBER</w:t>
            </w:r>
          </w:p>
          <w:p w14:paraId="53C02FCD" w14:textId="77777777" w:rsidR="00D212A4" w:rsidRDefault="00000000">
            <w:pPr>
              <w:spacing w:before="40" w:after="0"/>
            </w:pPr>
            <w:r>
              <w:rPr>
                <w:b/>
                <w:color w:val="FFFFFF"/>
                <w:sz w:val="46"/>
              </w:rPr>
              <w:t>20</w:t>
            </w:r>
          </w:p>
          <w:p w14:paraId="0EF69D4C" w14:textId="77777777" w:rsidR="00D212A4" w:rsidRDefault="00000000">
            <w:pPr>
              <w:spacing w:before="20" w:after="0"/>
            </w:pPr>
            <w:r>
              <w:rPr>
                <w:b/>
                <w:color w:val="E9A95C"/>
                <w:sz w:val="19"/>
              </w:rPr>
              <w:t>6 Archetyp-Cluster</w:t>
            </w:r>
          </w:p>
        </w:tc>
        <w:tc>
          <w:tcPr>
            <w:tcW w:w="2328" w:type="dxa"/>
            <w:tcBorders>
              <w:right w:val="single" w:sz="40" w:space="0" w:color="FFFFFF"/>
            </w:tcBorders>
            <w:shd w:val="clear" w:color="auto" w:fill="0E2A45"/>
            <w:tcMar>
              <w:top w:w="170" w:type="dxa"/>
              <w:left w:w="170" w:type="dxa"/>
              <w:bottom w:w="160" w:type="dxa"/>
              <w:right w:w="120" w:type="dxa"/>
            </w:tcMar>
            <w:vAlign w:val="center"/>
          </w:tcPr>
          <w:p w14:paraId="25FD2D93" w14:textId="77777777" w:rsidR="00D212A4" w:rsidRDefault="00000000">
            <w:pPr>
              <w:spacing w:after="60"/>
            </w:pPr>
            <w:r>
              <w:rPr>
                <w:color w:val="DD8736"/>
                <w:sz w:val="13"/>
              </w:rPr>
              <w:t>●</w:t>
            </w:r>
            <w:r>
              <w:t xml:space="preserve">  </w:t>
            </w:r>
            <w:r>
              <w:rPr>
                <w:b/>
                <w:color w:val="AEC2D6"/>
                <w:spacing w:val="52"/>
                <w:sz w:val="16"/>
              </w:rPr>
              <w:t>MARKTTRENDS</w:t>
            </w:r>
          </w:p>
          <w:p w14:paraId="7CCA2662" w14:textId="77777777" w:rsidR="00D212A4" w:rsidRDefault="00000000">
            <w:pPr>
              <w:spacing w:before="40" w:after="0"/>
            </w:pPr>
            <w:r>
              <w:rPr>
                <w:b/>
                <w:color w:val="FFFFFF"/>
                <w:sz w:val="46"/>
              </w:rPr>
              <w:t>8</w:t>
            </w:r>
          </w:p>
          <w:p w14:paraId="722F7077" w14:textId="77777777" w:rsidR="00D212A4" w:rsidRDefault="00000000">
            <w:pPr>
              <w:spacing w:before="20" w:after="0"/>
            </w:pPr>
            <w:r>
              <w:rPr>
                <w:b/>
                <w:color w:val="E9A95C"/>
                <w:sz w:val="19"/>
              </w:rPr>
              <w:t>mit Relevanz-Rating</w:t>
            </w:r>
          </w:p>
        </w:tc>
        <w:tc>
          <w:tcPr>
            <w:tcW w:w="2328" w:type="dxa"/>
            <w:tcBorders>
              <w:right w:val="nil"/>
            </w:tcBorders>
            <w:shd w:val="clear" w:color="auto" w:fill="284E7D"/>
            <w:tcMar>
              <w:top w:w="170" w:type="dxa"/>
              <w:left w:w="170" w:type="dxa"/>
              <w:bottom w:w="160" w:type="dxa"/>
              <w:right w:w="120" w:type="dxa"/>
            </w:tcMar>
            <w:vAlign w:val="center"/>
          </w:tcPr>
          <w:p w14:paraId="20FA709B" w14:textId="77777777" w:rsidR="00D212A4" w:rsidRDefault="00000000">
            <w:pPr>
              <w:spacing w:after="60"/>
            </w:pPr>
            <w:r>
              <w:rPr>
                <w:color w:val="DD8736"/>
                <w:sz w:val="13"/>
              </w:rPr>
              <w:t>●</w:t>
            </w:r>
            <w:r>
              <w:t xml:space="preserve">  </w:t>
            </w:r>
            <w:r>
              <w:rPr>
                <w:b/>
                <w:color w:val="AEC2D6"/>
                <w:spacing w:val="52"/>
                <w:sz w:val="16"/>
              </w:rPr>
              <w:t>LEVEL-4-HORIZONT</w:t>
            </w:r>
          </w:p>
          <w:p w14:paraId="42BEA906" w14:textId="77777777" w:rsidR="00D212A4" w:rsidRDefault="00000000">
            <w:pPr>
              <w:spacing w:before="40" w:after="0"/>
            </w:pPr>
            <w:r>
              <w:rPr>
                <w:b/>
                <w:color w:val="FFFFFF"/>
                <w:sz w:val="46"/>
              </w:rPr>
              <w:t>~2030</w:t>
            </w:r>
          </w:p>
          <w:p w14:paraId="2767264B" w14:textId="77777777" w:rsidR="00D212A4" w:rsidRDefault="00000000">
            <w:pPr>
              <w:spacing w:before="20" w:after="0"/>
            </w:pPr>
            <w:r>
              <w:rPr>
                <w:b/>
                <w:color w:val="E9A95C"/>
                <w:sz w:val="19"/>
              </w:rPr>
              <w:t>EU-Leitmarkt</w:t>
            </w:r>
          </w:p>
        </w:tc>
      </w:tr>
    </w:tbl>
    <w:p w14:paraId="768D56F0" w14:textId="77777777" w:rsidR="00D212A4" w:rsidRDefault="00D212A4">
      <w:pPr>
        <w:spacing w:after="80"/>
      </w:pPr>
    </w:p>
    <w:tbl>
      <w:tblPr>
        <w:tblW w:w="9314" w:type="dxa"/>
        <w:jc w:val="center"/>
        <w:tblLayout w:type="fixed"/>
        <w:tblLook w:val="04A0" w:firstRow="1" w:lastRow="0" w:firstColumn="1" w:lastColumn="0" w:noHBand="0" w:noVBand="1"/>
      </w:tblPr>
      <w:tblGrid>
        <w:gridCol w:w="9314"/>
      </w:tblGrid>
      <w:tr w:rsidR="00D212A4" w14:paraId="5BAE5E80" w14:textId="77777777">
        <w:trPr>
          <w:jc w:val="center"/>
        </w:trPr>
        <w:tc>
          <w:tcPr>
            <w:tcW w:w="9314" w:type="dxa"/>
            <w:tcBorders>
              <w:top w:val="single" w:sz="4" w:space="0" w:color="DDE3EA"/>
              <w:left w:val="single" w:sz="36" w:space="0" w:color="DD8736"/>
              <w:bottom w:val="single" w:sz="4" w:space="0" w:color="DDE3EA"/>
              <w:right w:val="single" w:sz="4" w:space="0" w:color="DDE3EA"/>
            </w:tcBorders>
            <w:shd w:val="clear" w:color="auto" w:fill="E7F0F8"/>
            <w:tcMar>
              <w:top w:w="160" w:type="dxa"/>
              <w:left w:w="260" w:type="dxa"/>
              <w:bottom w:w="160" w:type="dxa"/>
              <w:right w:w="220" w:type="dxa"/>
            </w:tcMar>
          </w:tcPr>
          <w:p w14:paraId="274D3026" w14:textId="77777777" w:rsidR="00D212A4" w:rsidRDefault="00000000">
            <w:pPr>
              <w:spacing w:after="80"/>
            </w:pPr>
            <w:r>
              <w:rPr>
                <w:color w:val="DD8736"/>
                <w:sz w:val="15"/>
              </w:rPr>
              <w:t>●</w:t>
            </w:r>
            <w:r>
              <w:t xml:space="preserve">  </w:t>
            </w:r>
            <w:r>
              <w:rPr>
                <w:b/>
                <w:color w:val="284E7D"/>
                <w:spacing w:val="52"/>
                <w:sz w:val="18"/>
              </w:rPr>
              <w:t>EXECUTIVE SUMMARY</w:t>
            </w:r>
          </w:p>
          <w:p w14:paraId="573CD820" w14:textId="77777777" w:rsidR="00D212A4" w:rsidRDefault="00000000">
            <w:pPr>
              <w:spacing w:after="40" w:line="300" w:lineRule="auto"/>
            </w:pPr>
            <w:r>
              <w:t>Drei Befunde bestimmen die strategische Agenda für ein ADAS/AD-Simulationsökosystem:</w:t>
            </w:r>
          </w:p>
          <w:p w14:paraId="543C37EA" w14:textId="77777777" w:rsidR="00D212A4" w:rsidRDefault="00000000">
            <w:pPr>
              <w:spacing w:after="40" w:line="300" w:lineRule="auto"/>
            </w:pPr>
            <w:r>
              <w:t>1.  Nachfrage ist rückgewichtet — ein Aufbau-, kein Abschöpfungsmarkt (nur 3 OEMs kurzfristig hochrelevant).</w:t>
            </w:r>
          </w:p>
          <w:p w14:paraId="2539E241" w14:textId="77777777" w:rsidR="00D212A4" w:rsidRDefault="00000000">
            <w:pPr>
              <w:spacing w:after="40" w:line="300" w:lineRule="auto"/>
            </w:pPr>
            <w:r>
              <w:t>2.  Wettbewerb ist intensiv, aber an der KI-Front lückenhaft — die vollautomatisierte Szenariengenerierung bleibt der White Space.</w:t>
            </w:r>
          </w:p>
          <w:p w14:paraId="38A98DB6" w14:textId="77777777" w:rsidR="00D212A4" w:rsidRDefault="00000000">
            <w:pPr>
              <w:spacing w:after="0" w:line="300" w:lineRule="auto"/>
            </w:pPr>
            <w:r>
              <w:t>3.  Regulatorik wirkt als struktureller Rückenwind für die virtuelle Validierung.</w:t>
            </w:r>
          </w:p>
        </w:tc>
      </w:tr>
    </w:tbl>
    <w:p w14:paraId="4B6C371B" w14:textId="77777777" w:rsidR="00D212A4" w:rsidRDefault="00D212A4">
      <w:pPr>
        <w:spacing w:after="80"/>
      </w:pPr>
    </w:p>
    <w:p w14:paraId="118AE226" w14:textId="77777777" w:rsidR="00D212A4" w:rsidRDefault="00000000">
      <w:pPr>
        <w:pStyle w:val="berschrift2"/>
      </w:pPr>
      <w:r>
        <w:t>Strategische Schlussfolgerung</w:t>
      </w:r>
    </w:p>
    <w:p w14:paraId="18128F65" w14:textId="77777777" w:rsidR="00D212A4" w:rsidRDefault="00000000">
      <w:r>
        <w:t>Anbieter ohne vollautomatisierte, KI-gestützte und normkonforme Validierungs-Toolchain riskieren, den Anschluss an die technologische Spitze zu verlieren. Der verlässlichste Pfad führt über tiefe Anker-Engagements mit wenigen hochrelevanten EU-Premium-OEMs — Tiefe und Referenzwirkung vor Abdeckung.</w:t>
      </w:r>
    </w:p>
    <w:p w14:paraId="1B13C307" w14:textId="77777777" w:rsidR="00D212A4" w:rsidRDefault="00000000">
      <w:pPr>
        <w:pBdr>
          <w:left w:val="single" w:sz="28" w:space="0" w:color="DD8736"/>
        </w:pBdr>
        <w:spacing w:before="160" w:after="40" w:line="312" w:lineRule="auto"/>
        <w:ind w:left="220"/>
      </w:pPr>
      <w:r>
        <w:rPr>
          <w:i/>
          <w:color w:val="284E7D"/>
          <w:sz w:val="27"/>
        </w:rPr>
        <w:t>„Wer die KI-gestützte Szenariengenerierung beherrscht, besitzt die Validierung der nächsten Fahrzeuggeneration.“</w:t>
      </w:r>
    </w:p>
    <w:p w14:paraId="602D92E5" w14:textId="77777777" w:rsidR="00D212A4" w:rsidRDefault="00000000">
      <w:pPr>
        <w:spacing w:after="200"/>
        <w:ind w:left="220"/>
      </w:pPr>
      <w:r>
        <w:rPr>
          <w:color w:val="5C6B7A"/>
          <w:sz w:val="18"/>
        </w:rPr>
        <w:t>— Rivalerra Consulting, Automotive Intelligence Practice</w:t>
      </w:r>
    </w:p>
    <w:p w14:paraId="4F69539A" w14:textId="77777777" w:rsidR="00D212A4" w:rsidRDefault="00D212A4">
      <w:pPr>
        <w:pageBreakBefore/>
        <w:spacing w:after="0"/>
      </w:pPr>
    </w:p>
    <w:tbl>
      <w:tblPr>
        <w:tblW w:w="9314" w:type="dxa"/>
        <w:jc w:val="center"/>
        <w:tblLayout w:type="fixed"/>
        <w:tblLook w:val="04A0" w:firstRow="1" w:lastRow="0" w:firstColumn="1" w:lastColumn="0" w:noHBand="0" w:noVBand="1"/>
      </w:tblPr>
      <w:tblGrid>
        <w:gridCol w:w="9314"/>
      </w:tblGrid>
      <w:tr w:rsidR="00D212A4" w14:paraId="6BE1577C" w14:textId="77777777">
        <w:trPr>
          <w:trHeight w:val="1500"/>
          <w:jc w:val="center"/>
        </w:trPr>
        <w:tc>
          <w:tcPr>
            <w:tcW w:w="9314" w:type="dxa"/>
            <w:shd w:val="clear" w:color="auto" w:fill="0E2A45"/>
            <w:tcMar>
              <w:top w:w="320" w:type="dxa"/>
              <w:left w:w="300" w:type="dxa"/>
              <w:bottom w:w="320" w:type="dxa"/>
              <w:right w:w="300" w:type="dxa"/>
            </w:tcMar>
          </w:tcPr>
          <w:p w14:paraId="16B910D1" w14:textId="77777777" w:rsidR="00D212A4" w:rsidRDefault="00000000">
            <w:pPr>
              <w:spacing w:after="40"/>
            </w:pPr>
            <w:r>
              <w:rPr>
                <w:color w:val="DD8736"/>
                <w:sz w:val="16"/>
              </w:rPr>
              <w:t xml:space="preserve">●  </w:t>
            </w:r>
            <w:r>
              <w:rPr>
                <w:b/>
                <w:color w:val="AEC2D6"/>
                <w:spacing w:val="52"/>
                <w:sz w:val="18"/>
              </w:rPr>
              <w:t>KAPITEL 02   ·   TAM · SAM · SOM</w:t>
            </w:r>
          </w:p>
          <w:p w14:paraId="54C6DB8B" w14:textId="77777777" w:rsidR="00D212A4" w:rsidRDefault="00000000">
            <w:pPr>
              <w:spacing w:before="40" w:after="0"/>
            </w:pPr>
            <w:r>
              <w:rPr>
                <w:b/>
                <w:color w:val="FFFFFF"/>
                <w:spacing w:val="-4"/>
                <w:sz w:val="42"/>
              </w:rPr>
              <w:t>Marktüberblick &amp; Marktgröße</w:t>
            </w:r>
          </w:p>
        </w:tc>
      </w:tr>
    </w:tbl>
    <w:p w14:paraId="3EE610C8" w14:textId="77777777" w:rsidR="00D212A4" w:rsidRDefault="00D212A4">
      <w:pPr>
        <w:spacing w:after="40"/>
      </w:pPr>
    </w:p>
    <w:p w14:paraId="1B1E8F51" w14:textId="77777777" w:rsidR="00D212A4" w:rsidRDefault="00000000">
      <w:pPr>
        <w:pStyle w:val="berschrift2"/>
      </w:pPr>
      <w:r>
        <w:t>Marktdimensionierung</w:t>
      </w:r>
    </w:p>
    <w:p w14:paraId="7E6CD4EA" w14:textId="77777777" w:rsidR="00D212A4" w:rsidRDefault="00000000">
      <w:r>
        <w:t>Der adressierbare Markt umfasst Simulation, Validierung und Testing über die Segmente Szenarien- &amp; Umgebungssimulation, Sensor- &amp; Datensimulation, Fahrzeug- &amp; Funktionssimulation (HiL/SiL), Toolchain &amp; Cloud-Infrastruktur sowie V&amp;V-Services. Der realistisch erreichbare Anteil (SOM) konzentriert sich auf KI-gestützte Szenarien- und Validierungslösungen für EU-Premium-OEMs.</w:t>
      </w:r>
    </w:p>
    <w:tbl>
      <w:tblPr>
        <w:tblW w:w="9314" w:type="dxa"/>
        <w:jc w:val="center"/>
        <w:tblLayout w:type="fixed"/>
        <w:tblLook w:val="04A0" w:firstRow="1" w:lastRow="0" w:firstColumn="1" w:lastColumn="0" w:noHBand="0" w:noVBand="1"/>
      </w:tblPr>
      <w:tblGrid>
        <w:gridCol w:w="3050"/>
        <w:gridCol w:w="1650"/>
        <w:gridCol w:w="1350"/>
        <w:gridCol w:w="1564"/>
        <w:gridCol w:w="1700"/>
      </w:tblGrid>
      <w:tr w:rsidR="00D212A4" w14:paraId="150F7DC1" w14:textId="77777777">
        <w:trPr>
          <w:jc w:val="center"/>
        </w:trPr>
        <w:tc>
          <w:tcPr>
            <w:tcW w:w="3050" w:type="dxa"/>
            <w:shd w:val="clear" w:color="auto" w:fill="284E7D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0310195" w14:textId="77777777" w:rsidR="00D212A4" w:rsidRDefault="00000000">
            <w:pPr>
              <w:spacing w:after="0"/>
            </w:pPr>
            <w:r>
              <w:rPr>
                <w:b/>
                <w:color w:val="FFFFFF"/>
                <w:spacing w:val="12"/>
                <w:sz w:val="18"/>
              </w:rPr>
              <w:t>SEGMENT</w:t>
            </w:r>
          </w:p>
        </w:tc>
        <w:tc>
          <w:tcPr>
            <w:tcW w:w="1650" w:type="dxa"/>
            <w:shd w:val="clear" w:color="auto" w:fill="284E7D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3166C3F" w14:textId="77777777" w:rsidR="00D212A4" w:rsidRDefault="00000000">
            <w:pPr>
              <w:spacing w:after="0"/>
              <w:jc w:val="center"/>
            </w:pPr>
            <w:r>
              <w:rPr>
                <w:b/>
                <w:color w:val="FFFFFF"/>
                <w:spacing w:val="12"/>
                <w:sz w:val="18"/>
              </w:rPr>
              <w:t>VOLUMEN 2026</w:t>
            </w:r>
          </w:p>
        </w:tc>
        <w:tc>
          <w:tcPr>
            <w:tcW w:w="1350" w:type="dxa"/>
            <w:shd w:val="clear" w:color="auto" w:fill="284E7D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E4392C9" w14:textId="77777777" w:rsidR="00D212A4" w:rsidRDefault="00000000">
            <w:pPr>
              <w:spacing w:after="0"/>
              <w:jc w:val="center"/>
            </w:pPr>
            <w:r>
              <w:rPr>
                <w:b/>
                <w:color w:val="FFFFFF"/>
                <w:spacing w:val="12"/>
                <w:sz w:val="18"/>
              </w:rPr>
              <w:t>CAGR 26–30</w:t>
            </w:r>
          </w:p>
        </w:tc>
        <w:tc>
          <w:tcPr>
            <w:tcW w:w="1564" w:type="dxa"/>
            <w:shd w:val="clear" w:color="auto" w:fill="284E7D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1632A6C" w14:textId="77777777" w:rsidR="00D212A4" w:rsidRDefault="00000000">
            <w:pPr>
              <w:spacing w:after="0"/>
              <w:jc w:val="center"/>
            </w:pPr>
            <w:r>
              <w:rPr>
                <w:b/>
                <w:color w:val="FFFFFF"/>
                <w:spacing w:val="12"/>
                <w:sz w:val="18"/>
              </w:rPr>
              <w:t>MARGENNIVEAU</w:t>
            </w:r>
          </w:p>
        </w:tc>
        <w:tc>
          <w:tcPr>
            <w:tcW w:w="1700" w:type="dxa"/>
            <w:shd w:val="clear" w:color="auto" w:fill="284E7D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45F3F62" w14:textId="77777777" w:rsidR="00D212A4" w:rsidRDefault="00000000">
            <w:pPr>
              <w:spacing w:after="0"/>
              <w:jc w:val="center"/>
            </w:pPr>
            <w:r>
              <w:rPr>
                <w:b/>
                <w:color w:val="FFFFFF"/>
                <w:spacing w:val="12"/>
                <w:sz w:val="18"/>
              </w:rPr>
              <w:t>PRIORITÄT</w:t>
            </w:r>
          </w:p>
        </w:tc>
      </w:tr>
      <w:tr w:rsidR="00D212A4" w14:paraId="34DED2F6" w14:textId="77777777">
        <w:trPr>
          <w:jc w:val="center"/>
        </w:trPr>
        <w:tc>
          <w:tcPr>
            <w:tcW w:w="305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0E57FEDA" w14:textId="77777777" w:rsidR="00D212A4" w:rsidRDefault="00000000">
            <w:pPr>
              <w:spacing w:after="0"/>
            </w:pPr>
            <w:r>
              <w:rPr>
                <w:b/>
                <w:color w:val="0E2A45"/>
                <w:sz w:val="19"/>
              </w:rPr>
              <w:t>Total Addressable Market (TAM)</w:t>
            </w:r>
          </w:p>
        </w:tc>
        <w:tc>
          <w:tcPr>
            <w:tcW w:w="165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60D8AB57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€6,2 Mrd</w:t>
            </w:r>
          </w:p>
        </w:tc>
        <w:tc>
          <w:tcPr>
            <w:tcW w:w="135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33200A5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~16 %</w:t>
            </w:r>
          </w:p>
        </w:tc>
        <w:tc>
          <w:tcPr>
            <w:tcW w:w="1564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604FA430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mittel</w:t>
            </w:r>
          </w:p>
        </w:tc>
        <w:tc>
          <w:tcPr>
            <w:tcW w:w="170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6A5AB501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—</w:t>
            </w:r>
          </w:p>
        </w:tc>
      </w:tr>
      <w:tr w:rsidR="00D212A4" w14:paraId="14C80AEF" w14:textId="77777777">
        <w:trPr>
          <w:jc w:val="center"/>
        </w:trPr>
        <w:tc>
          <w:tcPr>
            <w:tcW w:w="305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634FFAE9" w14:textId="77777777" w:rsidR="00D212A4" w:rsidRDefault="00000000">
            <w:pPr>
              <w:spacing w:after="0"/>
            </w:pPr>
            <w:r>
              <w:rPr>
                <w:b/>
                <w:color w:val="0E2A45"/>
                <w:sz w:val="19"/>
              </w:rPr>
              <w:t>Serviceable Available Market (SAM)</w:t>
            </w:r>
          </w:p>
        </w:tc>
        <w:tc>
          <w:tcPr>
            <w:tcW w:w="165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0E59AACB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€2,8 Mrd</w:t>
            </w:r>
          </w:p>
        </w:tc>
        <w:tc>
          <w:tcPr>
            <w:tcW w:w="135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20F9E1AC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~16 %</w:t>
            </w:r>
          </w:p>
        </w:tc>
        <w:tc>
          <w:tcPr>
            <w:tcW w:w="1564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2D53589B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hoch</w:t>
            </w:r>
          </w:p>
        </w:tc>
        <w:tc>
          <w:tcPr>
            <w:tcW w:w="170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17AF2F8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Hoch</w:t>
            </w:r>
          </w:p>
        </w:tc>
      </w:tr>
      <w:tr w:rsidR="00D212A4" w14:paraId="4634F05C" w14:textId="77777777">
        <w:trPr>
          <w:jc w:val="center"/>
        </w:trPr>
        <w:tc>
          <w:tcPr>
            <w:tcW w:w="3050" w:type="dxa"/>
            <w:tcBorders>
              <w:bottom w:val="single" w:sz="4" w:space="0" w:color="DDE3EA"/>
            </w:tcBorders>
            <w:shd w:val="clear" w:color="auto" w:fill="E7F0F8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9582972" w14:textId="77777777" w:rsidR="00D212A4" w:rsidRDefault="00000000">
            <w:pPr>
              <w:spacing w:after="0"/>
            </w:pPr>
            <w:r>
              <w:rPr>
                <w:b/>
                <w:color w:val="284E7D"/>
                <w:sz w:val="19"/>
              </w:rPr>
              <w:t>Serviceable Obtainable Market (SOM)</w:t>
            </w:r>
          </w:p>
        </w:tc>
        <w:tc>
          <w:tcPr>
            <w:tcW w:w="1650" w:type="dxa"/>
            <w:tcBorders>
              <w:bottom w:val="single" w:sz="4" w:space="0" w:color="DDE3EA"/>
            </w:tcBorders>
            <w:shd w:val="clear" w:color="auto" w:fill="E7F0F8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263AE437" w14:textId="77777777" w:rsidR="00D212A4" w:rsidRDefault="00000000">
            <w:pPr>
              <w:spacing w:after="0"/>
              <w:jc w:val="center"/>
            </w:pPr>
            <w:r>
              <w:rPr>
                <w:b/>
                <w:sz w:val="19"/>
              </w:rPr>
              <w:t>€0,6 Mrd</w:t>
            </w:r>
          </w:p>
        </w:tc>
        <w:tc>
          <w:tcPr>
            <w:tcW w:w="1350" w:type="dxa"/>
            <w:tcBorders>
              <w:bottom w:val="single" w:sz="4" w:space="0" w:color="DDE3EA"/>
            </w:tcBorders>
            <w:shd w:val="clear" w:color="auto" w:fill="E7F0F8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3C51D7BD" w14:textId="77777777" w:rsidR="00D212A4" w:rsidRDefault="00000000">
            <w:pPr>
              <w:spacing w:after="0"/>
              <w:jc w:val="center"/>
            </w:pPr>
            <w:r>
              <w:rPr>
                <w:b/>
                <w:sz w:val="19"/>
              </w:rPr>
              <w:t>~16 %</w:t>
            </w:r>
          </w:p>
        </w:tc>
        <w:tc>
          <w:tcPr>
            <w:tcW w:w="1564" w:type="dxa"/>
            <w:tcBorders>
              <w:bottom w:val="single" w:sz="4" w:space="0" w:color="DDE3EA"/>
            </w:tcBorders>
            <w:shd w:val="clear" w:color="auto" w:fill="E7F0F8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2ACE4B9F" w14:textId="77777777" w:rsidR="00D212A4" w:rsidRDefault="00000000">
            <w:pPr>
              <w:spacing w:after="0"/>
              <w:jc w:val="center"/>
            </w:pPr>
            <w:r>
              <w:rPr>
                <w:b/>
                <w:sz w:val="19"/>
              </w:rPr>
              <w:t>sehr hoch</w:t>
            </w:r>
          </w:p>
        </w:tc>
        <w:tc>
          <w:tcPr>
            <w:tcW w:w="1700" w:type="dxa"/>
            <w:tcBorders>
              <w:bottom w:val="single" w:sz="4" w:space="0" w:color="DDE3EA"/>
            </w:tcBorders>
            <w:shd w:val="clear" w:color="auto" w:fill="E7F0F8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4737E40F" w14:textId="77777777" w:rsidR="00D212A4" w:rsidRDefault="00000000">
            <w:pPr>
              <w:spacing w:after="0"/>
              <w:jc w:val="center"/>
            </w:pPr>
            <w:r>
              <w:rPr>
                <w:b/>
                <w:sz w:val="19"/>
              </w:rPr>
              <w:t>Fokus</w:t>
            </w:r>
          </w:p>
        </w:tc>
      </w:tr>
      <w:tr w:rsidR="00D212A4" w14:paraId="7D8F1ACD" w14:textId="77777777">
        <w:trPr>
          <w:jc w:val="center"/>
        </w:trPr>
        <w:tc>
          <w:tcPr>
            <w:tcW w:w="305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7F5DC40" w14:textId="77777777" w:rsidR="00D212A4" w:rsidRDefault="00000000">
            <w:pPr>
              <w:spacing w:after="0"/>
            </w:pPr>
            <w:r>
              <w:rPr>
                <w:b/>
                <w:color w:val="0E2A45"/>
                <w:sz w:val="19"/>
              </w:rPr>
              <w:t>KI-Szenarien- &amp; Umgebungssimulation</w:t>
            </w:r>
          </w:p>
        </w:tc>
        <w:tc>
          <w:tcPr>
            <w:tcW w:w="165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2E0F737E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€1,4 Mrd</w:t>
            </w:r>
          </w:p>
        </w:tc>
        <w:tc>
          <w:tcPr>
            <w:tcW w:w="135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21CE865C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~19 %</w:t>
            </w:r>
          </w:p>
        </w:tc>
        <w:tc>
          <w:tcPr>
            <w:tcW w:w="1564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0B054C3F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sehr hoch</w:t>
            </w:r>
          </w:p>
        </w:tc>
        <w:tc>
          <w:tcPr>
            <w:tcW w:w="170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654AB1AD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Fokus</w:t>
            </w:r>
          </w:p>
        </w:tc>
      </w:tr>
      <w:tr w:rsidR="00D212A4" w14:paraId="5FDB6AAD" w14:textId="77777777">
        <w:trPr>
          <w:jc w:val="center"/>
        </w:trPr>
        <w:tc>
          <w:tcPr>
            <w:tcW w:w="305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6042C52" w14:textId="77777777" w:rsidR="00D212A4" w:rsidRDefault="00000000">
            <w:pPr>
              <w:spacing w:after="0"/>
            </w:pPr>
            <w:r>
              <w:rPr>
                <w:b/>
                <w:color w:val="0E2A45"/>
                <w:sz w:val="19"/>
              </w:rPr>
              <w:t>Sensor- &amp; Datensimulation</w:t>
            </w:r>
          </w:p>
        </w:tc>
        <w:tc>
          <w:tcPr>
            <w:tcW w:w="165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19253DC1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€1,1 Mrd</w:t>
            </w:r>
          </w:p>
        </w:tc>
        <w:tc>
          <w:tcPr>
            <w:tcW w:w="135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44BEC13F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~22 %</w:t>
            </w:r>
          </w:p>
        </w:tc>
        <w:tc>
          <w:tcPr>
            <w:tcW w:w="1564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65086733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sehr hoch</w:t>
            </w:r>
          </w:p>
        </w:tc>
        <w:tc>
          <w:tcPr>
            <w:tcW w:w="170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0E6BFD27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Fokus</w:t>
            </w:r>
          </w:p>
        </w:tc>
      </w:tr>
    </w:tbl>
    <w:p w14:paraId="7F9860CF" w14:textId="77777777" w:rsidR="00D212A4" w:rsidRDefault="00000000">
      <w:pPr>
        <w:pStyle w:val="RivCaption"/>
      </w:pPr>
      <w:r>
        <w:t>Tabelle 1 — Marktdimensionierung ADAS/AD-Simulation, illustrative Demonstrationswerte.</w:t>
      </w:r>
    </w:p>
    <w:tbl>
      <w:tblPr>
        <w:tblW w:w="9314" w:type="dxa"/>
        <w:jc w:val="center"/>
        <w:tblLayout w:type="fixed"/>
        <w:tblLook w:val="04A0" w:firstRow="1" w:lastRow="0" w:firstColumn="1" w:lastColumn="0" w:noHBand="0" w:noVBand="1"/>
      </w:tblPr>
      <w:tblGrid>
        <w:gridCol w:w="9314"/>
      </w:tblGrid>
      <w:tr w:rsidR="00D212A4" w14:paraId="51F0BFDB" w14:textId="77777777">
        <w:trPr>
          <w:trHeight w:val="2700"/>
          <w:jc w:val="center"/>
        </w:trPr>
        <w:tc>
          <w:tcPr>
            <w:tcW w:w="9314" w:type="dxa"/>
            <w:tcBorders>
              <w:top w:val="dashed" w:sz="6" w:space="0" w:color="5B7FA6"/>
              <w:left w:val="dashed" w:sz="6" w:space="0" w:color="5B7FA6"/>
              <w:bottom w:val="dashed" w:sz="6" w:space="0" w:color="5B7FA6"/>
              <w:right w:val="dashed" w:sz="6" w:space="0" w:color="5B7FA6"/>
            </w:tcBorders>
            <w:shd w:val="clear" w:color="auto" w:fill="F4F6F9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13C6EFF8" w14:textId="77777777" w:rsidR="00D212A4" w:rsidRDefault="00000000">
            <w:pPr>
              <w:spacing w:after="0"/>
              <w:jc w:val="center"/>
            </w:pPr>
            <w:r>
              <w:rPr>
                <w:color w:val="5B7FA6"/>
                <w:sz w:val="26"/>
              </w:rPr>
              <w:t xml:space="preserve">▣  </w:t>
            </w:r>
            <w:r>
              <w:rPr>
                <w:b/>
                <w:color w:val="5C6B7A"/>
                <w:spacing w:val="20"/>
                <w:sz w:val="20"/>
              </w:rPr>
              <w:t>TAM / SAM / SOM — TRICHTERDIAGRAMM AUS DEM RIVALERRA-MODELL</w:t>
            </w:r>
          </w:p>
        </w:tc>
      </w:tr>
    </w:tbl>
    <w:p w14:paraId="1BFD0855" w14:textId="77777777" w:rsidR="00D212A4" w:rsidRDefault="00000000">
      <w:pPr>
        <w:pStyle w:val="RivCaption"/>
      </w:pPr>
      <w:r>
        <w:t>Abbildung 1 — Platzhalter: Diagramm aus dem Rivalerra-Excel-Modell (Demonstrations-Edition) verknüpfen.</w:t>
      </w:r>
    </w:p>
    <w:p w14:paraId="55355B33" w14:textId="77777777" w:rsidR="00D212A4" w:rsidRDefault="00000000">
      <w:pPr>
        <w:pStyle w:val="berschrift3"/>
      </w:pPr>
      <w:r>
        <w:lastRenderedPageBreak/>
        <w:t>Wachstumstreiber</w:t>
      </w:r>
    </w:p>
    <w:p w14:paraId="7AF8A7D0" w14:textId="77777777" w:rsidR="00D212A4" w:rsidRDefault="00000000">
      <w:r>
        <w:t>Regulatorische Restriktionen beim Testen auf öffentlichen Straßen, die Einführung von Level-3-Serien ab etwa 2026 sowie die wachsende Bedeutung von Software als USP treiben die Nachfrage nach virtueller Validierung. Gegenläufig wirken hohe Compute-Kosten und die Komplexität der Normabsicherung (ISO 26262).</w:t>
      </w:r>
    </w:p>
    <w:p w14:paraId="304AD32B" w14:textId="77777777" w:rsidR="00D212A4" w:rsidRDefault="00D212A4">
      <w:pPr>
        <w:pageBreakBefore/>
        <w:spacing w:after="0"/>
      </w:pPr>
    </w:p>
    <w:tbl>
      <w:tblPr>
        <w:tblW w:w="9314" w:type="dxa"/>
        <w:jc w:val="center"/>
        <w:tblLayout w:type="fixed"/>
        <w:tblLook w:val="04A0" w:firstRow="1" w:lastRow="0" w:firstColumn="1" w:lastColumn="0" w:noHBand="0" w:noVBand="1"/>
      </w:tblPr>
      <w:tblGrid>
        <w:gridCol w:w="9314"/>
      </w:tblGrid>
      <w:tr w:rsidR="00D212A4" w14:paraId="42EFED96" w14:textId="77777777">
        <w:trPr>
          <w:trHeight w:val="1500"/>
          <w:jc w:val="center"/>
        </w:trPr>
        <w:tc>
          <w:tcPr>
            <w:tcW w:w="9314" w:type="dxa"/>
            <w:shd w:val="clear" w:color="auto" w:fill="0E2A45"/>
            <w:tcMar>
              <w:top w:w="320" w:type="dxa"/>
              <w:left w:w="300" w:type="dxa"/>
              <w:bottom w:w="320" w:type="dxa"/>
              <w:right w:w="300" w:type="dxa"/>
            </w:tcMar>
          </w:tcPr>
          <w:p w14:paraId="4193F528" w14:textId="77777777" w:rsidR="00D212A4" w:rsidRDefault="00000000">
            <w:pPr>
              <w:spacing w:after="40"/>
            </w:pPr>
            <w:r>
              <w:rPr>
                <w:color w:val="DD8736"/>
                <w:sz w:val="16"/>
              </w:rPr>
              <w:t xml:space="preserve">●  </w:t>
            </w:r>
            <w:r>
              <w:rPr>
                <w:b/>
                <w:color w:val="AEC2D6"/>
                <w:spacing w:val="52"/>
                <w:sz w:val="18"/>
              </w:rPr>
              <w:t>KAPITEL 03   ·   COMPETITIVE BENCHMARKING</w:t>
            </w:r>
          </w:p>
          <w:p w14:paraId="6430E5E2" w14:textId="77777777" w:rsidR="00D212A4" w:rsidRDefault="00000000">
            <w:pPr>
              <w:spacing w:before="40" w:after="0"/>
            </w:pPr>
            <w:r>
              <w:rPr>
                <w:b/>
                <w:color w:val="FFFFFF"/>
                <w:spacing w:val="-4"/>
                <w:sz w:val="42"/>
              </w:rPr>
              <w:t>Wettbewerbslandschaft</w:t>
            </w:r>
          </w:p>
        </w:tc>
      </w:tr>
    </w:tbl>
    <w:p w14:paraId="097A6F35" w14:textId="77777777" w:rsidR="00D212A4" w:rsidRDefault="00D212A4">
      <w:pPr>
        <w:spacing w:after="40"/>
      </w:pPr>
    </w:p>
    <w:p w14:paraId="39090451" w14:textId="77777777" w:rsidR="00D212A4" w:rsidRDefault="00000000">
      <w:pPr>
        <w:pStyle w:val="berschrift2"/>
      </w:pPr>
      <w:r>
        <w:t>Benchmarking der Wettbewerbs-Cluster</w:t>
      </w:r>
    </w:p>
    <w:p w14:paraId="29F77CE1" w14:textId="77777777" w:rsidR="00D212A4" w:rsidRDefault="00000000">
      <w:r>
        <w:t>Die folgende Bewertung verdichtet 20 Anbieter zu sechs Archetyp-Clustern und vergleicht sie entlang Wettbewerbsintensität, KI-Reife und Anbieterzahl. Die KI-Reife ist qualitativ von „Mittel" bis „Sehr hoch" eingestuft.</w:t>
      </w:r>
    </w:p>
    <w:tbl>
      <w:tblPr>
        <w:tblW w:w="9314" w:type="dxa"/>
        <w:jc w:val="center"/>
        <w:tblLayout w:type="fixed"/>
        <w:tblLook w:val="04A0" w:firstRow="1" w:lastRow="0" w:firstColumn="1" w:lastColumn="0" w:noHBand="0" w:noVBand="1"/>
      </w:tblPr>
      <w:tblGrid>
        <w:gridCol w:w="2950"/>
        <w:gridCol w:w="1500"/>
        <w:gridCol w:w="1700"/>
        <w:gridCol w:w="1414"/>
        <w:gridCol w:w="1750"/>
      </w:tblGrid>
      <w:tr w:rsidR="00D212A4" w14:paraId="5EE8C6D4" w14:textId="77777777">
        <w:trPr>
          <w:jc w:val="center"/>
        </w:trPr>
        <w:tc>
          <w:tcPr>
            <w:tcW w:w="2950" w:type="dxa"/>
            <w:shd w:val="clear" w:color="auto" w:fill="284E7D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67E9B55" w14:textId="77777777" w:rsidR="00D212A4" w:rsidRDefault="00000000">
            <w:pPr>
              <w:spacing w:after="0"/>
            </w:pPr>
            <w:r>
              <w:rPr>
                <w:b/>
                <w:color w:val="FFFFFF"/>
                <w:spacing w:val="12"/>
                <w:sz w:val="18"/>
              </w:rPr>
              <w:t>CLUSTER</w:t>
            </w:r>
          </w:p>
        </w:tc>
        <w:tc>
          <w:tcPr>
            <w:tcW w:w="1500" w:type="dxa"/>
            <w:shd w:val="clear" w:color="auto" w:fill="284E7D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219CC52" w14:textId="77777777" w:rsidR="00D212A4" w:rsidRDefault="00000000">
            <w:pPr>
              <w:spacing w:after="0"/>
              <w:jc w:val="center"/>
            </w:pPr>
            <w:r>
              <w:rPr>
                <w:b/>
                <w:color w:val="FFFFFF"/>
                <w:spacing w:val="12"/>
                <w:sz w:val="18"/>
              </w:rPr>
              <w:t>ANBIETER</w:t>
            </w:r>
          </w:p>
        </w:tc>
        <w:tc>
          <w:tcPr>
            <w:tcW w:w="1700" w:type="dxa"/>
            <w:shd w:val="clear" w:color="auto" w:fill="284E7D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2C0215C" w14:textId="77777777" w:rsidR="00D212A4" w:rsidRDefault="00000000">
            <w:pPr>
              <w:spacing w:after="0"/>
              <w:jc w:val="center"/>
            </w:pPr>
            <w:r>
              <w:rPr>
                <w:b/>
                <w:color w:val="FFFFFF"/>
                <w:spacing w:val="12"/>
                <w:sz w:val="18"/>
              </w:rPr>
              <w:t>INTENSITÄT</w:t>
            </w:r>
          </w:p>
        </w:tc>
        <w:tc>
          <w:tcPr>
            <w:tcW w:w="1414" w:type="dxa"/>
            <w:shd w:val="clear" w:color="auto" w:fill="284E7D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FCC8969" w14:textId="77777777" w:rsidR="00D212A4" w:rsidRDefault="00000000">
            <w:pPr>
              <w:spacing w:after="0"/>
              <w:jc w:val="center"/>
            </w:pPr>
            <w:r>
              <w:rPr>
                <w:b/>
                <w:color w:val="FFFFFF"/>
                <w:spacing w:val="12"/>
                <w:sz w:val="18"/>
              </w:rPr>
              <w:t>KI-REIFE</w:t>
            </w:r>
          </w:p>
        </w:tc>
        <w:tc>
          <w:tcPr>
            <w:tcW w:w="1750" w:type="dxa"/>
            <w:shd w:val="clear" w:color="auto" w:fill="284E7D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4C04376" w14:textId="77777777" w:rsidR="00D212A4" w:rsidRDefault="00000000">
            <w:pPr>
              <w:spacing w:after="0"/>
              <w:jc w:val="center"/>
            </w:pPr>
            <w:r>
              <w:rPr>
                <w:b/>
                <w:color w:val="FFFFFF"/>
                <w:spacing w:val="12"/>
                <w:sz w:val="18"/>
              </w:rPr>
              <w:t>STRATEGISCHE BEDEUTUNG</w:t>
            </w:r>
          </w:p>
        </w:tc>
      </w:tr>
      <w:tr w:rsidR="00D212A4" w14:paraId="7C73BDA3" w14:textId="77777777">
        <w:trPr>
          <w:jc w:val="center"/>
        </w:trPr>
        <w:tc>
          <w:tcPr>
            <w:tcW w:w="2950" w:type="dxa"/>
            <w:tcBorders>
              <w:bottom w:val="single" w:sz="4" w:space="0" w:color="DDE3EA"/>
            </w:tcBorders>
            <w:shd w:val="clear" w:color="auto" w:fill="E7F0F8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23209F5D" w14:textId="77777777" w:rsidR="00D212A4" w:rsidRDefault="00000000">
            <w:pPr>
              <w:spacing w:after="0"/>
            </w:pPr>
            <w:r>
              <w:rPr>
                <w:b/>
                <w:color w:val="284E7D"/>
                <w:sz w:val="19"/>
              </w:rPr>
              <w:t>KI-native Szenario-Spezialisten</w:t>
            </w:r>
          </w:p>
        </w:tc>
        <w:tc>
          <w:tcPr>
            <w:tcW w:w="1500" w:type="dxa"/>
            <w:tcBorders>
              <w:bottom w:val="single" w:sz="4" w:space="0" w:color="DDE3EA"/>
            </w:tcBorders>
            <w:shd w:val="clear" w:color="auto" w:fill="E7F0F8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358E7F4A" w14:textId="77777777" w:rsidR="00D212A4" w:rsidRDefault="00000000">
            <w:pPr>
              <w:spacing w:after="0"/>
              <w:jc w:val="center"/>
            </w:pPr>
            <w:r>
              <w:rPr>
                <w:b/>
                <w:sz w:val="19"/>
              </w:rPr>
              <w:t>4</w:t>
            </w:r>
          </w:p>
        </w:tc>
        <w:tc>
          <w:tcPr>
            <w:tcW w:w="1700" w:type="dxa"/>
            <w:tcBorders>
              <w:bottom w:val="single" w:sz="4" w:space="0" w:color="DDE3EA"/>
            </w:tcBorders>
            <w:shd w:val="clear" w:color="auto" w:fill="E7F0F8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36B5FED1" w14:textId="77777777" w:rsidR="00D212A4" w:rsidRDefault="00000000">
            <w:pPr>
              <w:spacing w:after="0"/>
              <w:jc w:val="center"/>
            </w:pPr>
            <w:r>
              <w:rPr>
                <w:b/>
                <w:sz w:val="19"/>
              </w:rPr>
              <w:t>Mittel-Hoch</w:t>
            </w:r>
          </w:p>
        </w:tc>
        <w:tc>
          <w:tcPr>
            <w:tcW w:w="1414" w:type="dxa"/>
            <w:tcBorders>
              <w:bottom w:val="single" w:sz="4" w:space="0" w:color="DDE3EA"/>
            </w:tcBorders>
            <w:shd w:val="clear" w:color="auto" w:fill="E7F0F8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EFD75F5" w14:textId="77777777" w:rsidR="00D212A4" w:rsidRDefault="00000000">
            <w:pPr>
              <w:spacing w:after="0"/>
              <w:jc w:val="center"/>
            </w:pPr>
            <w:r>
              <w:rPr>
                <w:b/>
                <w:sz w:val="19"/>
              </w:rPr>
              <w:t>Sehr hoch</w:t>
            </w:r>
          </w:p>
        </w:tc>
        <w:tc>
          <w:tcPr>
            <w:tcW w:w="1750" w:type="dxa"/>
            <w:tcBorders>
              <w:bottom w:val="single" w:sz="4" w:space="0" w:color="DDE3EA"/>
            </w:tcBorders>
            <w:shd w:val="clear" w:color="auto" w:fill="E7F0F8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CA336A2" w14:textId="77777777" w:rsidR="00D212A4" w:rsidRDefault="00000000">
            <w:pPr>
              <w:spacing w:after="0"/>
              <w:jc w:val="center"/>
            </w:pPr>
            <w:r>
              <w:rPr>
                <w:b/>
                <w:sz w:val="19"/>
              </w:rPr>
              <w:t>Differenzierung · KI-Reife</w:t>
            </w:r>
          </w:p>
        </w:tc>
      </w:tr>
      <w:tr w:rsidR="00D212A4" w14:paraId="442F4592" w14:textId="77777777">
        <w:trPr>
          <w:jc w:val="center"/>
        </w:trPr>
        <w:tc>
          <w:tcPr>
            <w:tcW w:w="295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F3F1FC8" w14:textId="77777777" w:rsidR="00D212A4" w:rsidRDefault="00000000">
            <w:pPr>
              <w:spacing w:after="0"/>
            </w:pPr>
            <w:r>
              <w:rPr>
                <w:b/>
                <w:color w:val="0E2A45"/>
                <w:sz w:val="19"/>
              </w:rPr>
              <w:t>OEM-/Konzern-Plattformen</w:t>
            </w:r>
          </w:p>
        </w:tc>
        <w:tc>
          <w:tcPr>
            <w:tcW w:w="150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33B32861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170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B20DA4A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Hoch</w:t>
            </w:r>
          </w:p>
        </w:tc>
        <w:tc>
          <w:tcPr>
            <w:tcW w:w="1414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36634CE8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Hoch</w:t>
            </w:r>
          </w:p>
        </w:tc>
        <w:tc>
          <w:tcPr>
            <w:tcW w:w="175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1A8A3C12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Captive · kooperativer Wettbewerb</w:t>
            </w:r>
          </w:p>
        </w:tc>
      </w:tr>
      <w:tr w:rsidR="00D212A4" w14:paraId="554E12F3" w14:textId="77777777">
        <w:trPr>
          <w:jc w:val="center"/>
        </w:trPr>
        <w:tc>
          <w:tcPr>
            <w:tcW w:w="295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648CD35E" w14:textId="77777777" w:rsidR="00D212A4" w:rsidRDefault="00000000">
            <w:pPr>
              <w:spacing w:after="0"/>
            </w:pPr>
            <w:r>
              <w:rPr>
                <w:b/>
                <w:color w:val="0E2A45"/>
                <w:sz w:val="19"/>
              </w:rPr>
              <w:t>Tier-1, Compute &amp; Sensorik</w:t>
            </w:r>
          </w:p>
        </w:tc>
        <w:tc>
          <w:tcPr>
            <w:tcW w:w="150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0995BB7B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5</w:t>
            </w:r>
          </w:p>
        </w:tc>
        <w:tc>
          <w:tcPr>
            <w:tcW w:w="170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0461A9A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Hoch</w:t>
            </w:r>
          </w:p>
        </w:tc>
        <w:tc>
          <w:tcPr>
            <w:tcW w:w="1414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2C775346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Hoch</w:t>
            </w:r>
          </w:p>
        </w:tc>
        <w:tc>
          <w:tcPr>
            <w:tcW w:w="175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8C26949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Plattform-Reichweite</w:t>
            </w:r>
          </w:p>
        </w:tc>
      </w:tr>
      <w:tr w:rsidR="00D212A4" w14:paraId="5D36B198" w14:textId="77777777">
        <w:trPr>
          <w:jc w:val="center"/>
        </w:trPr>
        <w:tc>
          <w:tcPr>
            <w:tcW w:w="295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2F39D0AA" w14:textId="77777777" w:rsidR="00D212A4" w:rsidRDefault="00000000">
            <w:pPr>
              <w:spacing w:after="0"/>
            </w:pPr>
            <w:r>
              <w:rPr>
                <w:b/>
                <w:color w:val="0E2A45"/>
                <w:sz w:val="19"/>
              </w:rPr>
              <w:t>Etablierte Test- &amp; Simulationshäuser</w:t>
            </w:r>
          </w:p>
        </w:tc>
        <w:tc>
          <w:tcPr>
            <w:tcW w:w="150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806E22C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170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1B1F98B7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Hoch</w:t>
            </w:r>
          </w:p>
        </w:tc>
        <w:tc>
          <w:tcPr>
            <w:tcW w:w="1414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26325915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Mittel</w:t>
            </w:r>
          </w:p>
        </w:tc>
        <w:tc>
          <w:tcPr>
            <w:tcW w:w="175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49041BC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Inkumbent · Marktstandard</w:t>
            </w:r>
          </w:p>
        </w:tc>
      </w:tr>
      <w:tr w:rsidR="00D212A4" w14:paraId="1A89448D" w14:textId="77777777">
        <w:trPr>
          <w:jc w:val="center"/>
        </w:trPr>
        <w:tc>
          <w:tcPr>
            <w:tcW w:w="295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16480E6E" w14:textId="77777777" w:rsidR="00D212A4" w:rsidRDefault="00000000">
            <w:pPr>
              <w:spacing w:after="0"/>
            </w:pPr>
            <w:r>
              <w:rPr>
                <w:b/>
                <w:color w:val="0E2A45"/>
                <w:sz w:val="19"/>
              </w:rPr>
              <w:t>IT- &amp; Engineering-Dienstleister</w:t>
            </w:r>
          </w:p>
        </w:tc>
        <w:tc>
          <w:tcPr>
            <w:tcW w:w="150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655E4F40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170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6E133A6A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Hoch</w:t>
            </w:r>
          </w:p>
        </w:tc>
        <w:tc>
          <w:tcPr>
            <w:tcW w:w="1414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72B4F17C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Mittel</w:t>
            </w:r>
          </w:p>
        </w:tc>
        <w:tc>
          <w:tcPr>
            <w:tcW w:w="1750" w:type="dxa"/>
            <w:tcBorders>
              <w:bottom w:val="single" w:sz="4" w:space="0" w:color="DDE3EA"/>
            </w:tcBorders>
            <w:shd w:val="clear" w:color="auto" w:fill="FFFFFF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22A1215A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Skalierung &amp; Integration</w:t>
            </w:r>
          </w:p>
        </w:tc>
      </w:tr>
      <w:tr w:rsidR="00D212A4" w14:paraId="411261BC" w14:textId="77777777">
        <w:trPr>
          <w:jc w:val="center"/>
        </w:trPr>
        <w:tc>
          <w:tcPr>
            <w:tcW w:w="295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1F179A4F" w14:textId="77777777" w:rsidR="00D212A4" w:rsidRDefault="00000000">
            <w:pPr>
              <w:spacing w:after="0"/>
            </w:pPr>
            <w:r>
              <w:rPr>
                <w:b/>
                <w:color w:val="0E2A45"/>
                <w:sz w:val="19"/>
              </w:rPr>
              <w:t>Offene &amp; Verkehrssimulations-Nischen</w:t>
            </w:r>
          </w:p>
        </w:tc>
        <w:tc>
          <w:tcPr>
            <w:tcW w:w="150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67878E4E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70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566B3CB9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Mittel</w:t>
            </w:r>
          </w:p>
        </w:tc>
        <w:tc>
          <w:tcPr>
            <w:tcW w:w="1414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6B055EBE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Mittel</w:t>
            </w:r>
          </w:p>
        </w:tc>
        <w:tc>
          <w:tcPr>
            <w:tcW w:w="1750" w:type="dxa"/>
            <w:tcBorders>
              <w:bottom w:val="single" w:sz="4" w:space="0" w:color="DDE3EA"/>
            </w:tcBorders>
            <w:shd w:val="clear" w:color="auto" w:fill="F4F6F9"/>
            <w:tcMar>
              <w:top w:w="70" w:type="dxa"/>
              <w:left w:w="130" w:type="dxa"/>
              <w:bottom w:w="70" w:type="dxa"/>
              <w:right w:w="130" w:type="dxa"/>
            </w:tcMar>
            <w:vAlign w:val="center"/>
          </w:tcPr>
          <w:p w14:paraId="4810A18C" w14:textId="77777777" w:rsidR="00D212A4" w:rsidRDefault="00000000">
            <w:pPr>
              <w:spacing w:after="0"/>
              <w:jc w:val="center"/>
            </w:pPr>
            <w:r>
              <w:rPr>
                <w:sz w:val="19"/>
              </w:rPr>
              <w:t>Ökosystem-/Nischenspieler</w:t>
            </w:r>
          </w:p>
        </w:tc>
      </w:tr>
    </w:tbl>
    <w:p w14:paraId="793C3605" w14:textId="77777777" w:rsidR="00D212A4" w:rsidRDefault="00000000">
      <w:pPr>
        <w:pStyle w:val="RivCaption"/>
      </w:pPr>
      <w:r>
        <w:t>Tabelle 2 — Wettbewerbs-Cluster; hervorgehobene Zeile markiert die führende KI-Reife (KI-native Spezialisten).</w:t>
      </w:r>
    </w:p>
    <w:tbl>
      <w:tblPr>
        <w:tblW w:w="9314" w:type="dxa"/>
        <w:jc w:val="center"/>
        <w:tblLayout w:type="fixed"/>
        <w:tblLook w:val="04A0" w:firstRow="1" w:lastRow="0" w:firstColumn="1" w:lastColumn="0" w:noHBand="0" w:noVBand="1"/>
      </w:tblPr>
      <w:tblGrid>
        <w:gridCol w:w="9314"/>
      </w:tblGrid>
      <w:tr w:rsidR="00D212A4" w14:paraId="017EEFAD" w14:textId="77777777">
        <w:trPr>
          <w:jc w:val="center"/>
        </w:trPr>
        <w:tc>
          <w:tcPr>
            <w:tcW w:w="9314" w:type="dxa"/>
            <w:tcBorders>
              <w:top w:val="single" w:sz="4" w:space="0" w:color="DDE3EA"/>
              <w:left w:val="single" w:sz="36" w:space="0" w:color="DD8736"/>
              <w:bottom w:val="single" w:sz="4" w:space="0" w:color="DDE3EA"/>
              <w:right w:val="single" w:sz="4" w:space="0" w:color="DDE3EA"/>
            </w:tcBorders>
            <w:shd w:val="clear" w:color="auto" w:fill="FBF1E6"/>
            <w:tcMar>
              <w:top w:w="160" w:type="dxa"/>
              <w:left w:w="260" w:type="dxa"/>
              <w:bottom w:w="160" w:type="dxa"/>
              <w:right w:w="220" w:type="dxa"/>
            </w:tcMar>
          </w:tcPr>
          <w:p w14:paraId="15F15E06" w14:textId="77777777" w:rsidR="00D212A4" w:rsidRDefault="00000000">
            <w:pPr>
              <w:spacing w:after="80"/>
            </w:pPr>
            <w:r>
              <w:rPr>
                <w:color w:val="DD8736"/>
                <w:sz w:val="15"/>
              </w:rPr>
              <w:t>●</w:t>
            </w:r>
            <w:r>
              <w:t xml:space="preserve">  </w:t>
            </w:r>
            <w:r>
              <w:rPr>
                <w:b/>
                <w:color w:val="B96E22"/>
                <w:spacing w:val="52"/>
                <w:sz w:val="18"/>
              </w:rPr>
              <w:t>KEY TAKEAWAY</w:t>
            </w:r>
          </w:p>
          <w:p w14:paraId="67B0B790" w14:textId="77777777" w:rsidR="00D212A4" w:rsidRDefault="00000000">
            <w:pPr>
              <w:spacing w:after="0" w:line="300" w:lineRule="auto"/>
            </w:pPr>
            <w:r>
              <w:t>Nur die KI-nativen Spezialisten verbinden generative Szenariengenerierung mit hoher KI-Reife — ein Hinweis auf nachhaltige Differenzierung statt rein toolgetriebenen Wettbewerbs. Cloud-Determinismus und ASIL-D-Normabsicherung bilden die zweite Differenzierungsachse.</w:t>
            </w:r>
          </w:p>
        </w:tc>
      </w:tr>
    </w:tbl>
    <w:p w14:paraId="7DBD6396" w14:textId="77777777" w:rsidR="00D212A4" w:rsidRDefault="00D212A4">
      <w:pPr>
        <w:spacing w:after="80"/>
      </w:pPr>
    </w:p>
    <w:p w14:paraId="65A263FB" w14:textId="77777777" w:rsidR="00D212A4" w:rsidRDefault="00D212A4">
      <w:pPr>
        <w:pageBreakBefore/>
        <w:spacing w:after="0"/>
      </w:pPr>
    </w:p>
    <w:tbl>
      <w:tblPr>
        <w:tblW w:w="9314" w:type="dxa"/>
        <w:jc w:val="center"/>
        <w:tblLayout w:type="fixed"/>
        <w:tblLook w:val="04A0" w:firstRow="1" w:lastRow="0" w:firstColumn="1" w:lastColumn="0" w:noHBand="0" w:noVBand="1"/>
      </w:tblPr>
      <w:tblGrid>
        <w:gridCol w:w="9314"/>
      </w:tblGrid>
      <w:tr w:rsidR="00D212A4" w14:paraId="43B0E222" w14:textId="77777777">
        <w:trPr>
          <w:trHeight w:val="1500"/>
          <w:jc w:val="center"/>
        </w:trPr>
        <w:tc>
          <w:tcPr>
            <w:tcW w:w="9314" w:type="dxa"/>
            <w:shd w:val="clear" w:color="auto" w:fill="0E2A45"/>
            <w:tcMar>
              <w:top w:w="320" w:type="dxa"/>
              <w:left w:w="300" w:type="dxa"/>
              <w:bottom w:w="320" w:type="dxa"/>
              <w:right w:w="300" w:type="dxa"/>
            </w:tcMar>
          </w:tcPr>
          <w:p w14:paraId="21E28E8B" w14:textId="77777777" w:rsidR="00D212A4" w:rsidRDefault="00000000">
            <w:pPr>
              <w:spacing w:after="40"/>
            </w:pPr>
            <w:r>
              <w:rPr>
                <w:color w:val="DD8736"/>
                <w:sz w:val="16"/>
              </w:rPr>
              <w:t xml:space="preserve">●  </w:t>
            </w:r>
            <w:r>
              <w:rPr>
                <w:b/>
                <w:color w:val="AEC2D6"/>
                <w:spacing w:val="52"/>
                <w:sz w:val="18"/>
              </w:rPr>
              <w:t>KAPITEL 04   ·   SWOT-ANALYSE</w:t>
            </w:r>
          </w:p>
          <w:p w14:paraId="0B8335BA" w14:textId="77777777" w:rsidR="00D212A4" w:rsidRDefault="00000000">
            <w:pPr>
              <w:spacing w:before="40" w:after="0"/>
            </w:pPr>
            <w:r>
              <w:rPr>
                <w:b/>
                <w:color w:val="FFFFFF"/>
                <w:spacing w:val="-4"/>
                <w:sz w:val="42"/>
              </w:rPr>
              <w:t>Strategische Bewertung</w:t>
            </w:r>
          </w:p>
        </w:tc>
      </w:tr>
    </w:tbl>
    <w:p w14:paraId="73E009B7" w14:textId="77777777" w:rsidR="00D212A4" w:rsidRDefault="00D212A4">
      <w:pPr>
        <w:spacing w:after="40"/>
      </w:pPr>
    </w:p>
    <w:p w14:paraId="74E1A9BD" w14:textId="77777777" w:rsidR="00D212A4" w:rsidRDefault="00000000">
      <w:pPr>
        <w:pStyle w:val="berschrift2"/>
      </w:pPr>
      <w:r>
        <w:t>SWOT — Strategische Ausgangsposition</w:t>
      </w:r>
    </w:p>
    <w:tbl>
      <w:tblPr>
        <w:tblW w:w="9314" w:type="dxa"/>
        <w:jc w:val="center"/>
        <w:tblLayout w:type="fixed"/>
        <w:tblLook w:val="04A0" w:firstRow="1" w:lastRow="0" w:firstColumn="1" w:lastColumn="0" w:noHBand="0" w:noVBand="1"/>
      </w:tblPr>
      <w:tblGrid>
        <w:gridCol w:w="4657"/>
        <w:gridCol w:w="4657"/>
      </w:tblGrid>
      <w:tr w:rsidR="00D212A4" w14:paraId="2900E774" w14:textId="77777777">
        <w:trPr>
          <w:jc w:val="center"/>
        </w:trPr>
        <w:tc>
          <w:tcPr>
            <w:tcW w:w="4657" w:type="dxa"/>
            <w:tcBorders>
              <w:top w:val="single" w:sz="18" w:space="0" w:color="FFFFFF"/>
              <w:left w:val="single" w:sz="28" w:space="0" w:color="284E7D"/>
              <w:bottom w:val="single" w:sz="18" w:space="0" w:color="FFFFFF"/>
              <w:right w:val="single" w:sz="18" w:space="0" w:color="FFFFFF"/>
            </w:tcBorders>
            <w:shd w:val="clear" w:color="auto" w:fill="E7F0F8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1039A608" w14:textId="77777777" w:rsidR="00D212A4" w:rsidRDefault="00000000">
            <w:pPr>
              <w:spacing w:after="100"/>
            </w:pPr>
            <w:r>
              <w:rPr>
                <w:color w:val="DD8736"/>
                <w:sz w:val="15"/>
              </w:rPr>
              <w:t>●</w:t>
            </w:r>
            <w:r>
              <w:t xml:space="preserve">  </w:t>
            </w:r>
            <w:r>
              <w:rPr>
                <w:b/>
                <w:color w:val="284E7D"/>
                <w:spacing w:val="52"/>
                <w:sz w:val="18"/>
              </w:rPr>
              <w:t>STÄRKEN</w:t>
            </w:r>
          </w:p>
          <w:p w14:paraId="0EA349D1" w14:textId="77777777" w:rsidR="00D212A4" w:rsidRDefault="00000000">
            <w:pPr>
              <w:spacing w:after="60" w:line="288" w:lineRule="auto"/>
              <w:ind w:left="150" w:hanging="150"/>
            </w:pPr>
            <w:r>
              <w:rPr>
                <w:color w:val="284E7D"/>
                <w:sz w:val="20"/>
              </w:rPr>
              <w:t xml:space="preserve">–  </w:t>
            </w:r>
            <w:r>
              <w:rPr>
                <w:sz w:val="20"/>
              </w:rPr>
              <w:t>KI-gestützte Szenariengenerierung</w:t>
            </w:r>
          </w:p>
          <w:p w14:paraId="2953804A" w14:textId="77777777" w:rsidR="00D212A4" w:rsidRDefault="00000000">
            <w:pPr>
              <w:spacing w:after="60" w:line="288" w:lineRule="auto"/>
              <w:ind w:left="150" w:hanging="150"/>
            </w:pPr>
            <w:r>
              <w:rPr>
                <w:color w:val="284E7D"/>
                <w:sz w:val="20"/>
              </w:rPr>
              <w:t xml:space="preserve">–  </w:t>
            </w:r>
            <w:r>
              <w:rPr>
                <w:sz w:val="20"/>
              </w:rPr>
              <w:t>Synthetische Sensordaten (Kamera, Radar, LiDAR)</w:t>
            </w:r>
          </w:p>
          <w:p w14:paraId="036D548E" w14:textId="77777777" w:rsidR="00D212A4" w:rsidRDefault="00000000">
            <w:pPr>
              <w:spacing w:after="60" w:line="288" w:lineRule="auto"/>
              <w:ind w:left="150" w:hanging="150"/>
            </w:pPr>
            <w:r>
              <w:rPr>
                <w:color w:val="284E7D"/>
                <w:sz w:val="20"/>
              </w:rPr>
              <w:t xml:space="preserve">–  </w:t>
            </w:r>
            <w:r>
              <w:rPr>
                <w:sz w:val="20"/>
              </w:rPr>
              <w:t>ASIL-D-Determinismus &amp; Reproduzierbarkeit</w:t>
            </w:r>
          </w:p>
        </w:tc>
        <w:tc>
          <w:tcPr>
            <w:tcW w:w="4657" w:type="dxa"/>
            <w:tcBorders>
              <w:top w:val="single" w:sz="18" w:space="0" w:color="FFFFFF"/>
              <w:left w:val="single" w:sz="28" w:space="0" w:color="5C6B7A"/>
              <w:bottom w:val="single" w:sz="18" w:space="0" w:color="FFFFFF"/>
              <w:right w:val="single" w:sz="18" w:space="0" w:color="FFFFFF"/>
            </w:tcBorders>
            <w:shd w:val="clear" w:color="auto" w:fill="F4F6F9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14516B82" w14:textId="77777777" w:rsidR="00D212A4" w:rsidRDefault="00000000">
            <w:pPr>
              <w:spacing w:after="100"/>
            </w:pPr>
            <w:r>
              <w:rPr>
                <w:color w:val="DD8736"/>
                <w:sz w:val="15"/>
              </w:rPr>
              <w:t>●</w:t>
            </w:r>
            <w:r>
              <w:t xml:space="preserve">  </w:t>
            </w:r>
            <w:r>
              <w:rPr>
                <w:b/>
                <w:color w:val="5C6B7A"/>
                <w:spacing w:val="52"/>
                <w:sz w:val="18"/>
              </w:rPr>
              <w:t>SCHWÄCHEN</w:t>
            </w:r>
          </w:p>
          <w:p w14:paraId="12961C3E" w14:textId="77777777" w:rsidR="00D212A4" w:rsidRDefault="00000000">
            <w:pPr>
              <w:spacing w:after="60" w:line="288" w:lineRule="auto"/>
              <w:ind w:left="150" w:hanging="150"/>
            </w:pPr>
            <w:r>
              <w:rPr>
                <w:color w:val="5C6B7A"/>
                <w:sz w:val="20"/>
              </w:rPr>
              <w:t xml:space="preserve">–  </w:t>
            </w:r>
            <w:r>
              <w:rPr>
                <w:sz w:val="20"/>
              </w:rPr>
              <w:t>Schmale kurzfristige Anker-Kohorte (3 OEMs)</w:t>
            </w:r>
          </w:p>
          <w:p w14:paraId="23C62AFA" w14:textId="77777777" w:rsidR="00D212A4" w:rsidRDefault="00000000">
            <w:pPr>
              <w:spacing w:after="60" w:line="288" w:lineRule="auto"/>
              <w:ind w:left="150" w:hanging="150"/>
            </w:pPr>
            <w:r>
              <w:rPr>
                <w:color w:val="5C6B7A"/>
                <w:sz w:val="20"/>
              </w:rPr>
              <w:t xml:space="preserve">–  </w:t>
            </w:r>
            <w:r>
              <w:rPr>
                <w:sz w:val="20"/>
              </w:rPr>
              <w:t>Hohe F&amp;E- und Compute-Intensität</w:t>
            </w:r>
          </w:p>
          <w:p w14:paraId="046B71FF" w14:textId="77777777" w:rsidR="00D212A4" w:rsidRDefault="00000000">
            <w:pPr>
              <w:spacing w:after="60" w:line="288" w:lineRule="auto"/>
              <w:ind w:left="150" w:hanging="150"/>
            </w:pPr>
            <w:r>
              <w:rPr>
                <w:color w:val="5C6B7A"/>
                <w:sz w:val="20"/>
              </w:rPr>
              <w:t xml:space="preserve">–  </w:t>
            </w:r>
            <w:r>
              <w:rPr>
                <w:sz w:val="20"/>
              </w:rPr>
              <w:t>Abhängigkeit von Standard-Toolchains (ASAM)</w:t>
            </w:r>
          </w:p>
        </w:tc>
      </w:tr>
      <w:tr w:rsidR="00D212A4" w14:paraId="68E0266B" w14:textId="77777777">
        <w:trPr>
          <w:jc w:val="center"/>
        </w:trPr>
        <w:tc>
          <w:tcPr>
            <w:tcW w:w="4657" w:type="dxa"/>
            <w:tcBorders>
              <w:top w:val="single" w:sz="18" w:space="0" w:color="FFFFFF"/>
              <w:left w:val="single" w:sz="28" w:space="0" w:color="DD8736"/>
              <w:bottom w:val="single" w:sz="18" w:space="0" w:color="FFFFFF"/>
              <w:right w:val="single" w:sz="18" w:space="0" w:color="FFFFFF"/>
            </w:tcBorders>
            <w:shd w:val="clear" w:color="auto" w:fill="FBF1E6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22BC203D" w14:textId="77777777" w:rsidR="00D212A4" w:rsidRDefault="00000000">
            <w:pPr>
              <w:spacing w:after="100"/>
            </w:pPr>
            <w:r>
              <w:rPr>
                <w:color w:val="DD8736"/>
                <w:sz w:val="15"/>
              </w:rPr>
              <w:t>●</w:t>
            </w:r>
            <w:r>
              <w:t xml:space="preserve">  </w:t>
            </w:r>
            <w:r>
              <w:rPr>
                <w:b/>
                <w:color w:val="B96E22"/>
                <w:spacing w:val="52"/>
                <w:sz w:val="18"/>
              </w:rPr>
              <w:t>CHANCEN</w:t>
            </w:r>
          </w:p>
          <w:p w14:paraId="262D887F" w14:textId="77777777" w:rsidR="00D212A4" w:rsidRDefault="00000000">
            <w:pPr>
              <w:spacing w:after="60" w:line="288" w:lineRule="auto"/>
              <w:ind w:left="150" w:hanging="150"/>
            </w:pPr>
            <w:r>
              <w:rPr>
                <w:color w:val="B96E22"/>
                <w:sz w:val="20"/>
              </w:rPr>
              <w:t xml:space="preserve">–  </w:t>
            </w:r>
            <w:r>
              <w:rPr>
                <w:sz w:val="20"/>
              </w:rPr>
              <w:t>Rückgewichteter Markt — rund +44 % über sechs Jahre</w:t>
            </w:r>
          </w:p>
          <w:p w14:paraId="3BDA3CCA" w14:textId="77777777" w:rsidR="00D212A4" w:rsidRDefault="00000000">
            <w:pPr>
              <w:spacing w:after="60" w:line="288" w:lineRule="auto"/>
              <w:ind w:left="150" w:hanging="150"/>
            </w:pPr>
            <w:r>
              <w:rPr>
                <w:color w:val="B96E22"/>
                <w:sz w:val="20"/>
              </w:rPr>
              <w:t xml:space="preserve">–  </w:t>
            </w:r>
            <w:r>
              <w:rPr>
                <w:sz w:val="20"/>
              </w:rPr>
              <w:t>Regulatorischer Rückenwind für Simulation</w:t>
            </w:r>
          </w:p>
          <w:p w14:paraId="3E5AE441" w14:textId="77777777" w:rsidR="00D212A4" w:rsidRDefault="00000000">
            <w:pPr>
              <w:spacing w:after="60" w:line="288" w:lineRule="auto"/>
              <w:ind w:left="150" w:hanging="150"/>
            </w:pPr>
            <w:r>
              <w:rPr>
                <w:color w:val="B96E22"/>
                <w:sz w:val="20"/>
              </w:rPr>
              <w:t xml:space="preserve">–  </w:t>
            </w:r>
            <w:r>
              <w:rPr>
                <w:sz w:val="20"/>
              </w:rPr>
              <w:t>Nutzfahrzeug-Nische mit direktem Level-4-Sprung</w:t>
            </w:r>
          </w:p>
        </w:tc>
        <w:tc>
          <w:tcPr>
            <w:tcW w:w="4657" w:type="dxa"/>
            <w:tcBorders>
              <w:top w:val="single" w:sz="18" w:space="0" w:color="FFFFFF"/>
              <w:left w:val="single" w:sz="28" w:space="0" w:color="0E2A45"/>
              <w:bottom w:val="single" w:sz="18" w:space="0" w:color="FFFFFF"/>
              <w:right w:val="single" w:sz="18" w:space="0" w:color="FFFFFF"/>
            </w:tcBorders>
            <w:shd w:val="clear" w:color="auto" w:fill="EAEEF3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3FF36768" w14:textId="77777777" w:rsidR="00D212A4" w:rsidRDefault="00000000">
            <w:pPr>
              <w:spacing w:after="100"/>
            </w:pPr>
            <w:r>
              <w:rPr>
                <w:color w:val="DD8736"/>
                <w:sz w:val="15"/>
              </w:rPr>
              <w:t>●</w:t>
            </w:r>
            <w:r>
              <w:t xml:space="preserve">  </w:t>
            </w:r>
            <w:r>
              <w:rPr>
                <w:b/>
                <w:color w:val="0E2A45"/>
                <w:spacing w:val="52"/>
                <w:sz w:val="18"/>
              </w:rPr>
              <w:t>RISIKEN</w:t>
            </w:r>
          </w:p>
          <w:p w14:paraId="77D2D9CB" w14:textId="77777777" w:rsidR="00D212A4" w:rsidRDefault="00000000">
            <w:pPr>
              <w:spacing w:after="60" w:line="288" w:lineRule="auto"/>
              <w:ind w:left="150" w:hanging="150"/>
            </w:pPr>
            <w:r>
              <w:rPr>
                <w:color w:val="0E2A45"/>
                <w:sz w:val="20"/>
              </w:rPr>
              <w:t xml:space="preserve">–  </w:t>
            </w:r>
            <w:r>
              <w:rPr>
                <w:sz w:val="20"/>
              </w:rPr>
              <w:t>Captive Konzern-Plattformen (kooperativer Wettbewerb)</w:t>
            </w:r>
          </w:p>
          <w:p w14:paraId="6EFA38DB" w14:textId="77777777" w:rsidR="00D212A4" w:rsidRDefault="00000000">
            <w:pPr>
              <w:spacing w:after="60" w:line="288" w:lineRule="auto"/>
              <w:ind w:left="150" w:hanging="150"/>
            </w:pPr>
            <w:r>
              <w:rPr>
                <w:color w:val="0E2A45"/>
                <w:sz w:val="20"/>
              </w:rPr>
              <w:t xml:space="preserve">–  </w:t>
            </w:r>
            <w:r>
              <w:rPr>
                <w:sz w:val="20"/>
              </w:rPr>
              <w:t>Phasenversatz &amp; Eintrittstiming Japan</w:t>
            </w:r>
          </w:p>
          <w:p w14:paraId="106409FF" w14:textId="77777777" w:rsidR="00D212A4" w:rsidRDefault="00000000">
            <w:pPr>
              <w:spacing w:after="60" w:line="288" w:lineRule="auto"/>
              <w:ind w:left="150" w:hanging="150"/>
            </w:pPr>
            <w:r>
              <w:rPr>
                <w:color w:val="0E2A45"/>
                <w:sz w:val="20"/>
              </w:rPr>
              <w:t xml:space="preserve">–  </w:t>
            </w:r>
            <w:r>
              <w:rPr>
                <w:sz w:val="20"/>
              </w:rPr>
              <w:t>Schnelle Iteration der KI-nativen Spezialisten</w:t>
            </w:r>
          </w:p>
        </w:tc>
      </w:tr>
    </w:tbl>
    <w:p w14:paraId="7A2ECC35" w14:textId="77777777" w:rsidR="00D212A4" w:rsidRDefault="00D212A4">
      <w:pPr>
        <w:spacing w:after="80"/>
      </w:pPr>
    </w:p>
    <w:p w14:paraId="705CF853" w14:textId="77777777" w:rsidR="00D212A4" w:rsidRDefault="00D212A4">
      <w:pPr>
        <w:pageBreakBefore/>
        <w:spacing w:after="0"/>
      </w:pPr>
    </w:p>
    <w:tbl>
      <w:tblPr>
        <w:tblW w:w="9314" w:type="dxa"/>
        <w:jc w:val="center"/>
        <w:tblLayout w:type="fixed"/>
        <w:tblLook w:val="04A0" w:firstRow="1" w:lastRow="0" w:firstColumn="1" w:lastColumn="0" w:noHBand="0" w:noVBand="1"/>
      </w:tblPr>
      <w:tblGrid>
        <w:gridCol w:w="9314"/>
      </w:tblGrid>
      <w:tr w:rsidR="00D212A4" w14:paraId="1A29D778" w14:textId="77777777">
        <w:trPr>
          <w:trHeight w:val="1500"/>
          <w:jc w:val="center"/>
        </w:trPr>
        <w:tc>
          <w:tcPr>
            <w:tcW w:w="9314" w:type="dxa"/>
            <w:shd w:val="clear" w:color="auto" w:fill="0E2A45"/>
            <w:tcMar>
              <w:top w:w="320" w:type="dxa"/>
              <w:left w:w="300" w:type="dxa"/>
              <w:bottom w:w="320" w:type="dxa"/>
              <w:right w:w="300" w:type="dxa"/>
            </w:tcMar>
          </w:tcPr>
          <w:p w14:paraId="39AF77B9" w14:textId="77777777" w:rsidR="00D212A4" w:rsidRDefault="00000000">
            <w:pPr>
              <w:spacing w:after="40"/>
            </w:pPr>
            <w:r>
              <w:rPr>
                <w:color w:val="DD8736"/>
                <w:sz w:val="16"/>
              </w:rPr>
              <w:t xml:space="preserve">●  </w:t>
            </w:r>
            <w:r>
              <w:rPr>
                <w:b/>
                <w:color w:val="AEC2D6"/>
                <w:spacing w:val="52"/>
                <w:sz w:val="18"/>
              </w:rPr>
              <w:t>KAPITEL 05   ·   STRATEGIC ROADMAP</w:t>
            </w:r>
          </w:p>
          <w:p w14:paraId="1B90B985" w14:textId="77777777" w:rsidR="00D212A4" w:rsidRDefault="00000000">
            <w:pPr>
              <w:spacing w:before="40" w:after="0"/>
            </w:pPr>
            <w:r>
              <w:rPr>
                <w:b/>
                <w:color w:val="FFFFFF"/>
                <w:spacing w:val="-4"/>
                <w:sz w:val="42"/>
              </w:rPr>
              <w:t>Handlungsempfehlungen</w:t>
            </w:r>
          </w:p>
        </w:tc>
      </w:tr>
    </w:tbl>
    <w:p w14:paraId="523BDA41" w14:textId="77777777" w:rsidR="00D212A4" w:rsidRDefault="00D212A4">
      <w:pPr>
        <w:spacing w:after="40"/>
      </w:pPr>
    </w:p>
    <w:p w14:paraId="5D30CA46" w14:textId="77777777" w:rsidR="00D212A4" w:rsidRDefault="00000000">
      <w:pPr>
        <w:pStyle w:val="berschrift2"/>
      </w:pPr>
      <w:r>
        <w:t>Drei strategische Stoßrichtungen</w:t>
      </w:r>
    </w:p>
    <w:p w14:paraId="33CCD764" w14:textId="77777777" w:rsidR="00D212A4" w:rsidRDefault="00000000">
      <w:pPr>
        <w:pStyle w:val="berschrift3"/>
      </w:pPr>
      <w:r>
        <w:t>1.  EU-Premium-Anker statt Breite</w:t>
      </w:r>
    </w:p>
    <w:p w14:paraId="546FE9C0" w14:textId="77777777" w:rsidR="00D212A4" w:rsidRDefault="00000000">
      <w:r>
        <w:t>Tiefe Engagements mit drei hochrelevanten EU-Premium-OEMs als Ankermarkt — Referenzwert und Tiefe vor Abdeckung.</w:t>
      </w:r>
    </w:p>
    <w:p w14:paraId="64673D18" w14:textId="77777777" w:rsidR="00D212A4" w:rsidRDefault="00000000">
      <w:pPr>
        <w:pStyle w:val="berschrift3"/>
      </w:pPr>
      <w:r>
        <w:t>2.  KI-Szenarioautomatisierung als Differenzierung</w:t>
      </w:r>
    </w:p>
    <w:p w14:paraId="679FB375" w14:textId="77777777" w:rsidR="00D212A4" w:rsidRDefault="00000000">
      <w:r>
        <w:t>Generative Szenariengenerierung, synthetische Sensordaten und ASIL-D-Determinismus besetzen das noch unbesetzte Feld der KI-gestützten Validierung.</w:t>
      </w:r>
    </w:p>
    <w:p w14:paraId="74B4855D" w14:textId="77777777" w:rsidR="00D212A4" w:rsidRDefault="00000000">
      <w:pPr>
        <w:pStyle w:val="berschrift3"/>
      </w:pPr>
      <w:r>
        <w:t>3.  Regulatorik als Hebel nutzen</w:t>
      </w:r>
    </w:p>
    <w:p w14:paraId="4C6D3646" w14:textId="77777777" w:rsidR="00D212A4" w:rsidRDefault="00000000">
      <w:r>
        <w:t>Restriktive Public-Road-Tests in eine Wertgeschichte für virtuelle Validierung übersetzen; Japan phasenversetzt entlang der Sensorik-Stärke erschließen.</w:t>
      </w:r>
    </w:p>
    <w:tbl>
      <w:tblPr>
        <w:tblW w:w="9314" w:type="dxa"/>
        <w:jc w:val="center"/>
        <w:tblLayout w:type="fixed"/>
        <w:tblLook w:val="04A0" w:firstRow="1" w:lastRow="0" w:firstColumn="1" w:lastColumn="0" w:noHBand="0" w:noVBand="1"/>
      </w:tblPr>
      <w:tblGrid>
        <w:gridCol w:w="9314"/>
      </w:tblGrid>
      <w:tr w:rsidR="00D212A4" w14:paraId="43FB5B8C" w14:textId="77777777">
        <w:trPr>
          <w:jc w:val="center"/>
        </w:trPr>
        <w:tc>
          <w:tcPr>
            <w:tcW w:w="9314" w:type="dxa"/>
            <w:tcBorders>
              <w:top w:val="single" w:sz="4" w:space="0" w:color="DDE3EA"/>
              <w:left w:val="single" w:sz="36" w:space="0" w:color="284E7D"/>
              <w:bottom w:val="single" w:sz="4" w:space="0" w:color="DDE3EA"/>
              <w:right w:val="single" w:sz="4" w:space="0" w:color="DDE3EA"/>
            </w:tcBorders>
            <w:shd w:val="clear" w:color="auto" w:fill="E7F0F8"/>
            <w:tcMar>
              <w:top w:w="160" w:type="dxa"/>
              <w:left w:w="260" w:type="dxa"/>
              <w:bottom w:w="160" w:type="dxa"/>
              <w:right w:w="220" w:type="dxa"/>
            </w:tcMar>
          </w:tcPr>
          <w:p w14:paraId="14C7EE14" w14:textId="77777777" w:rsidR="00D212A4" w:rsidRDefault="00000000">
            <w:pPr>
              <w:spacing w:after="80"/>
            </w:pPr>
            <w:r>
              <w:rPr>
                <w:color w:val="DD8736"/>
                <w:sz w:val="15"/>
              </w:rPr>
              <w:t>●</w:t>
            </w:r>
            <w:r>
              <w:t xml:space="preserve">  </w:t>
            </w:r>
            <w:r>
              <w:rPr>
                <w:b/>
                <w:color w:val="284E7D"/>
                <w:spacing w:val="52"/>
                <w:sz w:val="18"/>
              </w:rPr>
              <w:t>EMPFOHLENER NÄCHSTER SCHRITT</w:t>
            </w:r>
          </w:p>
          <w:p w14:paraId="55053627" w14:textId="77777777" w:rsidR="00D212A4" w:rsidRDefault="00000000">
            <w:pPr>
              <w:spacing w:after="0" w:line="300" w:lineRule="auto"/>
            </w:pPr>
            <w:r>
              <w:t>Initiierung eines fokussierten Scopings mit zwei bis drei EU-Premium-OEMs zur Definition eines KI-gestützten Szenarien- und Validierungs-MVP. Rivalerra begleitet Marktpriorisierung, Business Case und Roadmap.</w:t>
            </w:r>
          </w:p>
        </w:tc>
      </w:tr>
    </w:tbl>
    <w:p w14:paraId="1CF3DA7C" w14:textId="77777777" w:rsidR="00D212A4" w:rsidRDefault="00D212A4">
      <w:pPr>
        <w:spacing w:after="80"/>
      </w:pPr>
    </w:p>
    <w:p w14:paraId="52118B9B" w14:textId="77777777" w:rsidR="00D212A4" w:rsidRDefault="00D212A4">
      <w:pPr>
        <w:pageBreakBefore/>
        <w:spacing w:after="0"/>
      </w:pPr>
    </w:p>
    <w:tbl>
      <w:tblPr>
        <w:tblW w:w="9314" w:type="dxa"/>
        <w:jc w:val="center"/>
        <w:tblLayout w:type="fixed"/>
        <w:tblLook w:val="04A0" w:firstRow="1" w:lastRow="0" w:firstColumn="1" w:lastColumn="0" w:noHBand="0" w:noVBand="1"/>
      </w:tblPr>
      <w:tblGrid>
        <w:gridCol w:w="9314"/>
      </w:tblGrid>
      <w:tr w:rsidR="00D212A4" w14:paraId="4CA6BE73" w14:textId="77777777">
        <w:trPr>
          <w:trHeight w:val="1500"/>
          <w:jc w:val="center"/>
        </w:trPr>
        <w:tc>
          <w:tcPr>
            <w:tcW w:w="9314" w:type="dxa"/>
            <w:shd w:val="clear" w:color="auto" w:fill="0E2A45"/>
            <w:tcMar>
              <w:top w:w="320" w:type="dxa"/>
              <w:left w:w="300" w:type="dxa"/>
              <w:bottom w:w="320" w:type="dxa"/>
              <w:right w:w="300" w:type="dxa"/>
            </w:tcMar>
          </w:tcPr>
          <w:p w14:paraId="06259ADE" w14:textId="77777777" w:rsidR="00D212A4" w:rsidRDefault="00000000">
            <w:pPr>
              <w:spacing w:after="40"/>
            </w:pPr>
            <w:r>
              <w:rPr>
                <w:color w:val="DD8736"/>
                <w:sz w:val="16"/>
              </w:rPr>
              <w:t xml:space="preserve">●  </w:t>
            </w:r>
            <w:r>
              <w:rPr>
                <w:b/>
                <w:color w:val="AEC2D6"/>
                <w:spacing w:val="52"/>
                <w:sz w:val="18"/>
              </w:rPr>
              <w:t>KAPITEL A   ·   APPENDIX</w:t>
            </w:r>
          </w:p>
          <w:p w14:paraId="6BB2FD27" w14:textId="77777777" w:rsidR="00D212A4" w:rsidRDefault="00000000">
            <w:pPr>
              <w:spacing w:before="40" w:after="0"/>
            </w:pPr>
            <w:r>
              <w:rPr>
                <w:b/>
                <w:color w:val="FFFFFF"/>
                <w:spacing w:val="-4"/>
                <w:sz w:val="42"/>
              </w:rPr>
              <w:t>Anhang &amp; Quellen</w:t>
            </w:r>
          </w:p>
        </w:tc>
      </w:tr>
    </w:tbl>
    <w:p w14:paraId="33E5103A" w14:textId="77777777" w:rsidR="00D212A4" w:rsidRDefault="00D212A4">
      <w:pPr>
        <w:spacing w:after="40"/>
      </w:pPr>
    </w:p>
    <w:p w14:paraId="75AC61BA" w14:textId="77777777" w:rsidR="00D212A4" w:rsidRDefault="00000000">
      <w:pPr>
        <w:pStyle w:val="berschrift2"/>
      </w:pPr>
      <w:r>
        <w:t>Methodik</w:t>
      </w:r>
    </w:p>
    <w:p w14:paraId="712E028C" w14:textId="77777777" w:rsidR="00D212A4" w:rsidRDefault="00000000">
      <w:r>
        <w:t>Die Analyse beruht auf strukturiertem Scoring: Kunden nach Produktrelevanz (Hoch/Mittel/Gering/Keine/Offen) über zwei Zeithorizonte (&lt; 3 und &lt; 6 Jahre); Wettbewerber über fünf Capability-Dimensionen — Leistungsfähigkeit, Benutzerfreundlichkeit, KI-Szenarienautomatisierung, Quellen-/Sensoranbindung sowie Funktions- &amp; Normabsicherung. Alle Zahlen sind illustrative Demonstrationswerte.</w:t>
      </w:r>
    </w:p>
    <w:p w14:paraId="0D2496F2" w14:textId="77777777" w:rsidR="00D212A4" w:rsidRDefault="00000000">
      <w:pPr>
        <w:pStyle w:val="berschrift3"/>
      </w:pPr>
      <w:r>
        <w:t>Quellen</w:t>
      </w:r>
    </w:p>
    <w:p w14:paraId="4FBF6C8C" w14:textId="77777777" w:rsidR="00D212A4" w:rsidRDefault="00000000">
      <w:pPr>
        <w:pStyle w:val="RivSource"/>
      </w:pPr>
      <w:r>
        <w:t>[1]  Öffentliche Geschäftsberichte und technische Whitepapers der analysierten Anbieter (anonymisiert).</w:t>
      </w:r>
    </w:p>
    <w:p w14:paraId="7DB41E42" w14:textId="77777777" w:rsidR="00D212A4" w:rsidRDefault="00000000">
      <w:pPr>
        <w:pStyle w:val="RivSource"/>
      </w:pPr>
      <w:r>
        <w:t>[2]  Branchenstandards und -dokumentation (u. a. ASAM OpenSCENARIO / OpenDRIVE, ISO 26262).</w:t>
      </w:r>
    </w:p>
    <w:p w14:paraId="01F9BD4C" w14:textId="77777777" w:rsidR="00D212A4" w:rsidRDefault="00000000">
      <w:pPr>
        <w:pStyle w:val="RivSource"/>
      </w:pPr>
      <w:r>
        <w:t>[3]  Regulatorische Rahmenwerke zu Straßentests autonomer Fahrzeuge, Europa und Japan.</w:t>
      </w:r>
    </w:p>
    <w:p w14:paraId="64DFAEB3" w14:textId="77777777" w:rsidR="00D212A4" w:rsidRDefault="00000000">
      <w:pPr>
        <w:pStyle w:val="RivSource"/>
      </w:pPr>
      <w:r>
        <w:t>[4]  Rivalerra-internes Markt- und Szenariomodell, Demonstrations-Edition 2026.</w:t>
      </w:r>
    </w:p>
    <w:p>
      <w:pPr>
        <w:pStyle w:val="RivSource"/>
      </w:pPr>
      <w:r>
        <w:t>Dieses Dokument ist eine abstrahierte und anonymisierte Darstellung früherer Analysearbeit. Es enthält keine vertraulichen Kunden-, Partner- oder Projektinformationen. Unternehmensbezeichnungen sind zu Archetypen verallgemeinert; Kennzahlen sind illustrative Demonstrationswerte.</w:t>
      </w:r>
    </w:p>
    <w:sectPr w:rsidR="00D212A4" w:rsidSect="00034616">
      <w:headerReference w:type="default" r:id="rId9"/>
      <w:footerReference w:type="default" r:id="rId10"/>
      <w:pgSz w:w="11906" w:h="16838"/>
      <w:pgMar w:top="1418" w:right="1296" w:bottom="1350" w:left="1296" w:header="760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33BE" w14:textId="77777777" w:rsidR="001A005B" w:rsidRDefault="001A005B">
      <w:pPr>
        <w:spacing w:after="0" w:line="240" w:lineRule="auto"/>
      </w:pPr>
      <w:r>
        <w:separator/>
      </w:r>
    </w:p>
  </w:endnote>
  <w:endnote w:type="continuationSeparator" w:id="0">
    <w:p w14:paraId="404A021D" w14:textId="77777777" w:rsidR="001A005B" w:rsidRDefault="001A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566B" w14:textId="049B1F1C" w:rsidR="00D212A4" w:rsidRDefault="00000000">
    <w:pPr>
      <w:pStyle w:val="Fuzeile"/>
      <w:pBdr>
        <w:top w:val="single" w:sz="6" w:space="0" w:color="DDE3EA"/>
      </w:pBdr>
      <w:tabs>
        <w:tab w:val="clear" w:pos="4680"/>
        <w:tab w:val="center" w:pos="4657"/>
        <w:tab w:val="right" w:pos="9314"/>
      </w:tabs>
      <w:spacing w:before="60"/>
    </w:pPr>
    <w:r>
      <w:rPr>
        <w:b/>
        <w:color w:val="9AA7B3"/>
        <w:spacing w:val="36"/>
        <w:sz w:val="15"/>
      </w:rPr>
      <w:t>STRICTLY CONFIDENTIAL</w:t>
    </w:r>
    <w:r>
      <w:tab/>
    </w:r>
    <w:r>
      <w:tab/>
    </w:r>
    <w:proofErr w:type="spellStart"/>
    <w:r>
      <w:rPr>
        <w:color w:val="5C6B7A"/>
        <w:sz w:val="16"/>
      </w:rPr>
      <w:t>Seite</w:t>
    </w:r>
    <w:proofErr w:type="spellEnd"/>
    <w:r>
      <w:rPr>
        <w:color w:val="5C6B7A"/>
        <w:sz w:val="16"/>
      </w:rPr>
      <w:t xml:space="preserve"> </w:t>
    </w:r>
    <w:r>
      <w:rPr>
        <w:color w:val="5C6B7A"/>
        <w:sz w:val="16"/>
      </w:rPr>
      <w:fldChar w:fldCharType="begin"/>
    </w:r>
    <w:r>
      <w:rPr>
        <w:color w:val="5C6B7A"/>
        <w:sz w:val="16"/>
      </w:rPr>
      <w:instrText>PAGE</w:instrText>
    </w:r>
    <w:r>
      <w:rPr>
        <w:color w:val="5C6B7A"/>
        <w:sz w:val="16"/>
      </w:rPr>
      <w:fldChar w:fldCharType="separate"/>
    </w:r>
    <w:r>
      <w:rPr>
        <w:color w:val="5C6B7A"/>
        <w:sz w:val="16"/>
      </w:rPr>
      <w:t>1</w:t>
    </w:r>
    <w:r>
      <w:rPr>
        <w:color w:val="5C6B7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7E8BC" w14:textId="77777777" w:rsidR="001A005B" w:rsidRDefault="001A005B">
      <w:pPr>
        <w:spacing w:after="0" w:line="240" w:lineRule="auto"/>
      </w:pPr>
      <w:r>
        <w:separator/>
      </w:r>
    </w:p>
  </w:footnote>
  <w:footnote w:type="continuationSeparator" w:id="0">
    <w:p w14:paraId="688655AD" w14:textId="77777777" w:rsidR="001A005B" w:rsidRDefault="001A0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FD856" w14:textId="2997332C" w:rsidR="00D212A4" w:rsidRDefault="00C21E33">
    <w:pPr>
      <w:pStyle w:val="Kopfzeile"/>
      <w:pBdr>
        <w:bottom w:val="single" w:sz="6" w:space="0" w:color="DDE3EA"/>
      </w:pBdr>
      <w:tabs>
        <w:tab w:val="right" w:pos="9314"/>
      </w:tabs>
      <w:spacing w:after="80"/>
    </w:pPr>
    <w:r w:rsidRPr="00C21E33">
      <w:rPr>
        <w:color w:val="5C6B7A"/>
        <w:sz w:val="16"/>
      </w:rPr>
    </w:r>
    <w:proofErr w:type="spellStart"/>
    <w:r w:rsidR="00000000">
      <w:rPr>
        <w:color w:val="5C6B7A"/>
        <w:sz w:val="16"/>
      </w:rPr>
      <w:t>Markt- &amp; Wettbewerbsanalyse  ·  ADAS/AD-Simulation</w:t>
    </w:r>
    <w:proofErr w:type="spellEnd"/>
    <w:r w:rsidR="00000000">
      <w:rPr>
        <w:color w:val="5C6B7A"/>
        <w:sz w:val="16"/>
      </w:rPr>
    </w:r>
    <w:proofErr w:type="spellStart"/>
    <w:proofErr w:type="gramStart"/>
    <w:r w:rsidR="00000000">
      <w:rPr>
        <w:color w:val="5C6B7A"/>
        <w:sz w:val="16"/>
      </w:rPr>
    </w:r>
    <w:proofErr w:type="spellEnd"/>
    <w:r w:rsidR="00000000">
      <w:rPr>
        <w:color w:val="5C6B7A"/>
        <w:sz w:val="16"/>
      </w:rPr>
    </w:r>
    <w:proofErr w:type="gramEnd"/>
    <w:r w:rsidR="00000000">
      <w:rPr>
        <w:color w:val="5C6B7A"/>
        <w:sz w:val="16"/>
      </w:rPr>
    </w:r>
    <w:proofErr w:type="spellStart"/>
    <w:r w:rsidR="00000000">
      <w:rPr>
        <w:color w:val="5C6B7A"/>
        <w:sz w:val="16"/>
      </w:rPr>
    </w:r>
    <w:proofErr w:type="spellEnd"/>
    <w:r w:rsidR="00000000">
      <w:rPr>
        <w:color w:val="5C6B7A"/>
        <w:sz w:val="16"/>
      </w:rPr>
    </w:r>
    <w:r>
      <w:rPr>
        <w:color w:val="5C6B7A"/>
        <w:sz w:val="16"/>
      </w:rPr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9388584">
    <w:abstractNumId w:val="8"/>
  </w:num>
  <w:num w:numId="2" w16cid:durableId="630476169">
    <w:abstractNumId w:val="6"/>
  </w:num>
  <w:num w:numId="3" w16cid:durableId="708454925">
    <w:abstractNumId w:val="5"/>
  </w:num>
  <w:num w:numId="4" w16cid:durableId="1250115482">
    <w:abstractNumId w:val="4"/>
  </w:num>
  <w:num w:numId="5" w16cid:durableId="1465389964">
    <w:abstractNumId w:val="7"/>
  </w:num>
  <w:num w:numId="6" w16cid:durableId="1462725953">
    <w:abstractNumId w:val="3"/>
  </w:num>
  <w:num w:numId="7" w16cid:durableId="544872217">
    <w:abstractNumId w:val="2"/>
  </w:num>
  <w:num w:numId="8" w16cid:durableId="1845245861">
    <w:abstractNumId w:val="1"/>
  </w:num>
  <w:num w:numId="9" w16cid:durableId="37312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005B"/>
    <w:rsid w:val="0029639D"/>
    <w:rsid w:val="00326F90"/>
    <w:rsid w:val="003A2C36"/>
    <w:rsid w:val="009B77CA"/>
    <w:rsid w:val="00AA1D8D"/>
    <w:rsid w:val="00B47730"/>
    <w:rsid w:val="00C21E33"/>
    <w:rsid w:val="00CB0664"/>
    <w:rsid w:val="00D212A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5FEEE"/>
  <w14:defaultImageDpi w14:val="300"/>
  <w15:docId w15:val="{27542175-CAF8-D547-AA0A-C4440461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20" w:line="307" w:lineRule="auto"/>
    </w:pPr>
    <w:rPr>
      <w:rFonts w:ascii="Century Gothic" w:eastAsia="Century Gothic" w:hAnsi="Century Gothic" w:cs="Century Gothic"/>
      <w:color w:val="222E38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00" w:after="160"/>
      <w:outlineLvl w:val="0"/>
    </w:pPr>
    <w:rPr>
      <w:rFonts w:asciiTheme="majorHAnsi" w:eastAsiaTheme="majorEastAsia" w:hAnsiTheme="majorHAnsi" w:cstheme="majorBidi"/>
      <w:b/>
      <w:bCs/>
      <w:color w:val="284E7D"/>
      <w:spacing w:val="-4"/>
      <w:sz w:val="3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300" w:after="80"/>
      <w:outlineLvl w:val="1"/>
    </w:pPr>
    <w:rPr>
      <w:rFonts w:asciiTheme="majorHAnsi" w:eastAsiaTheme="majorEastAsia" w:hAnsiTheme="majorHAnsi" w:cstheme="majorBidi"/>
      <w:b/>
      <w:bCs/>
      <w:color w:val="0E2A45"/>
      <w:sz w:val="27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20" w:after="40"/>
      <w:outlineLvl w:val="2"/>
    </w:pPr>
    <w:rPr>
      <w:rFonts w:asciiTheme="majorHAnsi" w:eastAsiaTheme="majorEastAsia" w:hAnsiTheme="majorHAnsi" w:cstheme="majorBidi"/>
      <w:b/>
      <w:bCs/>
      <w:color w:val="284E7D"/>
      <w:sz w:val="23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ivCaption">
    <w:name w:val="Riv Caption"/>
    <w:basedOn w:val="Standard"/>
    <w:pPr>
      <w:spacing w:before="40" w:after="200"/>
    </w:pPr>
    <w:rPr>
      <w:i/>
      <w:color w:val="5C6B7A"/>
      <w:sz w:val="17"/>
    </w:rPr>
  </w:style>
  <w:style w:type="paragraph" w:customStyle="1" w:styleId="RivSource">
    <w:name w:val="Riv Source"/>
    <w:basedOn w:val="Standard"/>
    <w:pPr>
      <w:spacing w:after="40" w:line="276" w:lineRule="auto"/>
    </w:pPr>
    <w:rPr>
      <w:color w:val="5C6B7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803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Beran Cem Akyol</cp:lastModifiedBy>
  <cp:revision>3</cp:revision>
  <dcterms:created xsi:type="dcterms:W3CDTF">2026-06-06T01:41:00Z</dcterms:created>
  <dcterms:modified xsi:type="dcterms:W3CDTF">2026-06-06T01:44:00Z</dcterms:modified>
  <cp:category/>
</cp:coreProperties>
</file>